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pPr>
      <w:r>
        <w:drawing>
          <wp:inline distT="0" distB="0" distL="0" distR="0">
            <wp:extent cx="146685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66850" cy="304800"/>
                    </a:xfrm>
                    <a:prstGeom prst="rect">
                      <a:avLst/>
                    </a:prstGeom>
                  </pic:spPr>
                </pic:pic>
              </a:graphicData>
            </a:graphic>
          </wp:inline>
        </w:drawing>
      </w:r>
    </w:p>
    <w:p>
      <w:pPr>
        <w:pStyle w:val="Title"/>
        <w:spacing w:after="160"/>
      </w:pPr>
      <w:r>
        <w:t xml:space="preserve">Development since 2005: Sub-Saharan Africa, South Asia, Latin America and East Asia</w:t>
      </w:r>
    </w:p>
    <w:p>
      <w:pPr>
        <w:pStyle w:val="Heading1"/>
      </w:pPr>
      <w:r>
        <w:t xml:space="preserve">Summary</w:t>
      </w:r>
    </w:p>
    <w:p>
      <w:pPr>
        <w:spacing w:after="120"/>
      </w:pPr>
      <w:r>
        <w:rPr>
          <w:sz w:val="22"/>
          <w:szCs w:val="22"/>
        </w:rPr>
        <w:t xml:space="preserve">South Asia made the most progress since 2005, followed by East Asia, Sub-Saharan Africa and Latin America, based on GDP per capita, life expectancy and secondary school enrollment from the World Bank, with UN population context.</w:t>
      </w:r>
    </w:p>
    <w:p>
      <w:pPr>
        <w:pStyle w:val="Heading1"/>
      </w:pPr>
      <w:r>
        <w:t xml:space="preserve">Summary and ranking</w:t>
      </w:r>
    </w:p>
    <w:p>
      <w:pPr>
        <w:spacing w:after="120"/>
      </w:pPr>
      <w:r>
        <w:rPr>
          <w:b/>
          <w:bCs/>
          <w:sz w:val="22"/>
          <w:szCs w:val="22"/>
        </w:rPr>
        <w:t xml:space="preserve">Ranking on progress since 2005: 1. South Asia, 2. East Asia, 3. Sub-Saharan Africa, 4. Latin America.</w:t>
      </w:r>
      <w:r>
        <w:rPr>
          <w:sz w:val="22"/>
          <w:szCs w:val="22"/>
        </w:rPr>
        <w:t xml:space="preserve"> The ranking averages standardised gains in three World Bank indicators between 2005 and 2023, the latest year with data for all four regions [1]. South Asia led because it improved on all three measures at once: GDP per capita grew 134%, life expectancy rose 7.2 years, and secondary enrollment rose 23 points. East Asia had the largest income gain in absolute dollars, but its life-expectancy gain is smaller than the world's. Sub-Saharan Africa made the biggest health gain and the smallest income gain. Latin America started highest and gained least on every measure.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FASTEST INCOME GROWTH</w:t>
            </w:r>
          </w:p>
          <w:p>
            <w:r>
              <w:rPr>
                <w:b/>
                <w:bCs/>
                <w:color w:val="0B7A79"/>
                <w:sz w:val="32"/>
                <w:szCs w:val="32"/>
              </w:rPr>
              <w:t xml:space="preserve">South Asia +134%</w:t>
            </w:r>
          </w:p>
          <w:p>
            <w:r>
              <w:rPr>
                <w:color w:val="64748B"/>
                <w:sz w:val="16"/>
                <w:szCs w:val="16"/>
              </w:rPr>
              <w:t xml:space="preserve">GDP per capita, constant 2015 US$, $940 → $2,201; World +35% [1]</w:t>
            </w:r>
          </w:p>
        </w:tc>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BIGGEST HEALTH GAIN</w:t>
            </w:r>
          </w:p>
          <w:p>
            <w:r>
              <w:rPr>
                <w:b/>
                <w:bCs/>
                <w:color w:val="0B7A79"/>
                <w:sz w:val="32"/>
                <w:szCs w:val="32"/>
              </w:rPr>
              <w:t xml:space="preserve">Sub-Saharan Africa +8.7 yrs</w:t>
            </w:r>
          </w:p>
          <w:p>
            <w:r>
              <w:rPr>
                <w:color w:val="64748B"/>
                <w:sz w:val="16"/>
                <w:szCs w:val="16"/>
              </w:rPr>
              <w:t xml:space="preserve">Life expectancy 53.9 → 62.6; World +4.2 yrs [1]</w:t>
            </w:r>
          </w:p>
        </w:tc>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BIGGEST SCHOOLING GAIN</w:t>
            </w:r>
          </w:p>
          <w:p>
            <w:r>
              <w:rPr>
                <w:b/>
                <w:bCs/>
                <w:color w:val="0B7A79"/>
                <w:sz w:val="32"/>
                <w:szCs w:val="32"/>
              </w:rPr>
              <w:t xml:space="preserve">South Asia +23.0 pts</w:t>
            </w:r>
          </w:p>
          <w:p>
            <w:r>
              <w:rPr>
                <w:color w:val="64748B"/>
                <w:sz w:val="16"/>
                <w:szCs w:val="16"/>
              </w:rPr>
              <w:t xml:space="preserve">Gross secondary enrollment 54.9% → 77.9%; East Asia was close at +21.6 pts [1]</w:t>
            </w:r>
          </w:p>
        </w:tc>
      </w:tr>
      <w:tr>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WEAKEST INCOME TREND</w:t>
            </w:r>
          </w:p>
          <w:p>
            <w:r>
              <w:rPr>
                <w:b/>
                <w:bCs/>
                <w:color w:val="0B7A79"/>
                <w:sz w:val="32"/>
                <w:szCs w:val="32"/>
              </w:rPr>
              <w:t xml:space="preserve">Sub-Saharan Africa +15%</w:t>
            </w:r>
          </w:p>
          <w:p>
            <w:r>
              <w:rPr>
                <w:color w:val="64748B"/>
                <w:sz w:val="16"/>
                <w:szCs w:val="16"/>
              </w:rPr>
              <w:t xml:space="preserve">GDP per capita fell from $1,623 in 2019 to $1,571 in 2023 [1]</w:t>
            </w:r>
          </w:p>
        </w:tc>
        <w:tc>
          <w:tcPr>
            <w:tcW w:type="pct" w:w="33.333333333333336%"/>
            <w:tcBorders>
              <w:top w:val="none"/>
              <w:left w:val="none"/>
              <w:bottom w:val="none"/>
              <w:right w:val="none"/>
            </w:tcBorders>
          </w:tcPr>
          <w:p/>
        </w:tc>
        <w:tc>
          <w:tcPr>
            <w:tcW w:type="pct" w:w="33.333333333333336%"/>
            <w:tcBorders>
              <w:top w:val="none"/>
              <w:left w:val="none"/>
              <w:bottom w:val="none"/>
              <w:right w:val="none"/>
            </w:tcBorders>
          </w:tcPr>
          <w:p/>
        </w:tc>
      </w:tr>
    </w:tbl>
    <w:p>
      <w:pPr>
        <w:pStyle w:val="Heading2"/>
      </w:pPr>
      <w:r>
        <w:t xml:space="preserve">Progress since 2005, ranked</w:t>
      </w:r>
    </w:p>
    <w:p>
      <w:pPr>
        <w:keepNext/>
      </w:pPr>
      <w:r>
        <w:rPr>
          <w:i/>
          <w:iCs/>
          <w:sz w:val="22"/>
          <w:szCs w:val="22"/>
        </w:rPr>
        <w:t xml:space="preserve">Progress score is the average of the three gains after each is standardised across the four regions (mean 0, so negative means below the four-region average). The score is relative to these four regions only, not an absolute measure. Gains cover 2005–2023. [1]</w:t>
      </w:r>
    </w:p>
    <w:tbl>
      <w:tblPr>
        <w:tblW w:type="pct" w:w="100%"/>
        <w:tblBorders>
          <w:top w:val="none" w:color="auto" w:sz="0"/>
          <w:left w:val="none" w:color="auto" w:sz="0"/>
          <w:bottom w:val="single" w:color="E2E8F0" w:sz="2"/>
          <w:right w:val="none" w:color="auto" w:sz="0"/>
          <w:insideH w:val="single" w:color="E2E8F0" w:sz="2"/>
          <w:insideV w:val="none" w:color="auto" w:sz="0"/>
        </w:tblBorders>
      </w:tblPr>
      <w:tblGrid>
        <w:gridCol w:w="100"/>
        <w:gridCol w:w="100"/>
        <w:gridCol w:w="100"/>
        <w:gridCol w:w="100"/>
        <w:gridCol w:w="100"/>
        <w:gridCol w:w="100"/>
      </w:tblGrid>
      <w:tr>
        <w:trPr>
          <w:tblHeader/>
        </w:trPr>
        <w:tc>
          <w:tcPr>
            <w:tcW w:type="pct" w:w="3.4782608695652173%"/>
            <w:shd w:fill="0E9594"/>
          </w:tcPr>
          <w:p>
            <w:pPr>
              <w:jc w:val="right"/>
            </w:pPr>
            <w:r>
              <w:rPr>
                <w:b/>
                <w:bCs/>
                <w:color w:val="FFFFFF"/>
                <w:sz w:val="20"/>
                <w:szCs w:val="20"/>
              </w:rPr>
              <w:t xml:space="preserve">Rank</w:t>
            </w:r>
          </w:p>
        </w:tc>
        <w:tc>
          <w:tcPr>
            <w:tcW w:type="pct" w:w="15.652173913043478%"/>
            <w:shd w:fill="0E9594"/>
          </w:tcPr>
          <w:p>
            <w:pPr>
              <w:jc w:val="left"/>
            </w:pPr>
            <w:r>
              <w:rPr>
                <w:b/>
                <w:bCs/>
                <w:color w:val="FFFFFF"/>
                <w:sz w:val="20"/>
                <w:szCs w:val="20"/>
              </w:rPr>
              <w:t xml:space="preserve">Region</w:t>
            </w:r>
          </w:p>
        </w:tc>
        <w:tc>
          <w:tcPr>
            <w:tcW w:type="pct" w:w="18.26086956521739%"/>
            <w:shd w:fill="0E9594"/>
          </w:tcPr>
          <w:p>
            <w:pPr>
              <w:jc w:val="right"/>
            </w:pPr>
            <w:r>
              <w:rPr>
                <w:b/>
                <w:bCs/>
                <w:color w:val="FFFFFF"/>
                <w:sz w:val="20"/>
                <w:szCs w:val="20"/>
              </w:rPr>
              <w:t xml:space="preserve">GDP per capita change</w:t>
            </w:r>
          </w:p>
        </w:tc>
        <w:tc>
          <w:tcPr>
            <w:tcW w:type="pct" w:w="24.347826086956523%"/>
            <w:shd w:fill="0E9594"/>
          </w:tcPr>
          <w:p>
            <w:pPr>
              <w:jc w:val="right"/>
            </w:pPr>
            <w:r>
              <w:rPr>
                <w:b/>
                <w:bCs/>
                <w:color w:val="FFFFFF"/>
                <w:sz w:val="20"/>
                <w:szCs w:val="20"/>
              </w:rPr>
              <w:t xml:space="preserve">Life expectancy gain (years)</w:t>
            </w:r>
          </w:p>
        </w:tc>
        <w:tc>
          <w:tcPr>
            <w:tcW w:type="pct" w:w="26.08695652173913%"/>
            <w:shd w:fill="0E9594"/>
          </w:tcPr>
          <w:p>
            <w:pPr>
              <w:jc w:val="right"/>
            </w:pPr>
            <w:r>
              <w:rPr>
                <w:b/>
                <w:bCs/>
                <w:color w:val="FFFFFF"/>
                <w:sz w:val="20"/>
                <w:szCs w:val="20"/>
              </w:rPr>
              <w:t xml:space="preserve">Secondary enrollment gain (pts)</w:t>
            </w:r>
          </w:p>
        </w:tc>
        <w:tc>
          <w:tcPr>
            <w:tcW w:type="pct" w:w="12.173913043478262%"/>
            <w:shd w:fill="0E9594"/>
          </w:tcPr>
          <w:p>
            <w:pPr>
              <w:jc w:val="right"/>
            </w:pPr>
            <w:r>
              <w:rPr>
                <w:b/>
                <w:bCs/>
                <w:color w:val="FFFFFF"/>
                <w:sz w:val="20"/>
                <w:szCs w:val="20"/>
              </w:rPr>
              <w:t xml:space="preserve">Progress score</w:t>
            </w:r>
          </w:p>
        </w:tc>
      </w:tr>
      <w:tr>
        <w:tc>
          <w:tcPr>
            <w:tcW w:type="pct" w:w="3.4782608695652173%"/>
          </w:tcPr>
          <w:p>
            <w:pPr>
              <w:jc w:val="right"/>
            </w:pPr>
            <w:r>
              <w:rPr>
                <w:sz w:val="20"/>
                <w:szCs w:val="20"/>
              </w:rPr>
              <w:t xml:space="preserve">1</w:t>
            </w:r>
          </w:p>
        </w:tc>
        <w:tc>
          <w:tcPr>
            <w:tcW w:type="pct" w:w="15.652173913043478%"/>
          </w:tcPr>
          <w:p>
            <w:pPr>
              <w:jc w:val="left"/>
            </w:pPr>
            <w:r>
              <w:rPr>
                <w:sz w:val="20"/>
                <w:szCs w:val="20"/>
              </w:rPr>
              <w:t xml:space="preserve">South Asia</w:t>
            </w:r>
          </w:p>
        </w:tc>
        <w:tc>
          <w:tcPr>
            <w:tcW w:type="pct" w:w="18.26086956521739%"/>
          </w:tcPr>
          <w:p>
            <w:pPr>
              <w:jc w:val="right"/>
            </w:pPr>
            <w:r>
              <w:rPr>
                <w:sz w:val="20"/>
                <w:szCs w:val="20"/>
              </w:rPr>
              <w:t xml:space="preserve">+134%</w:t>
            </w:r>
          </w:p>
        </w:tc>
        <w:tc>
          <w:tcPr>
            <w:tcW w:type="pct" w:w="24.347826086956523%"/>
          </w:tcPr>
          <w:p>
            <w:pPr>
              <w:jc w:val="right"/>
            </w:pPr>
            <w:r>
              <w:rPr>
                <w:sz w:val="20"/>
                <w:szCs w:val="20"/>
              </w:rPr>
              <w:t xml:space="preserve">+7.2</w:t>
            </w:r>
          </w:p>
        </w:tc>
        <w:tc>
          <w:tcPr>
            <w:tcW w:type="pct" w:w="26.08695652173913%"/>
          </w:tcPr>
          <w:p>
            <w:pPr>
              <w:jc w:val="right"/>
            </w:pPr>
            <w:r>
              <w:rPr>
                <w:sz w:val="20"/>
                <w:szCs w:val="20"/>
              </w:rPr>
              <w:t xml:space="preserve">+23.0</w:t>
            </w:r>
          </w:p>
        </w:tc>
        <w:tc>
          <w:tcPr>
            <w:tcW w:type="pct" w:w="12.173913043478262%"/>
          </w:tcPr>
          <w:p>
            <w:pPr>
              <w:jc w:val="right"/>
            </w:pPr>
            <w:r>
              <w:rPr>
                <w:sz w:val="20"/>
                <w:szCs w:val="20"/>
              </w:rPr>
              <w:t xml:space="preserve">+1.00</w:t>
            </w:r>
          </w:p>
        </w:tc>
      </w:tr>
      <w:tr>
        <w:tc>
          <w:tcPr>
            <w:tcW w:type="pct" w:w="3.4782608695652173%"/>
            <w:shd w:fill="F8FAFC"/>
          </w:tcPr>
          <w:p>
            <w:pPr>
              <w:jc w:val="right"/>
            </w:pPr>
            <w:r>
              <w:rPr>
                <w:sz w:val="20"/>
                <w:szCs w:val="20"/>
              </w:rPr>
              <w:t xml:space="preserve">2</w:t>
            </w:r>
          </w:p>
        </w:tc>
        <w:tc>
          <w:tcPr>
            <w:tcW w:type="pct" w:w="15.652173913043478%"/>
            <w:shd w:fill="F8FAFC"/>
          </w:tcPr>
          <w:p>
            <w:pPr>
              <w:jc w:val="left"/>
            </w:pPr>
            <w:r>
              <w:rPr>
                <w:sz w:val="20"/>
                <w:szCs w:val="20"/>
              </w:rPr>
              <w:t xml:space="preserve">East Asia</w:t>
            </w:r>
          </w:p>
        </w:tc>
        <w:tc>
          <w:tcPr>
            <w:tcW w:type="pct" w:w="18.26086956521739%"/>
            <w:shd w:fill="F8FAFC"/>
          </w:tcPr>
          <w:p>
            <w:pPr>
              <w:jc w:val="right"/>
            </w:pPr>
            <w:r>
              <w:rPr>
                <w:sz w:val="20"/>
                <w:szCs w:val="20"/>
              </w:rPr>
              <w:t xml:space="preserve">+107%</w:t>
            </w:r>
          </w:p>
        </w:tc>
        <w:tc>
          <w:tcPr>
            <w:tcW w:type="pct" w:w="24.347826086956523%"/>
            <w:shd w:fill="F8FAFC"/>
          </w:tcPr>
          <w:p>
            <w:pPr>
              <w:jc w:val="right"/>
            </w:pPr>
            <w:r>
              <w:rPr>
                <w:sz w:val="20"/>
                <w:szCs w:val="20"/>
              </w:rPr>
              <w:t xml:space="preserve">+3.4</w:t>
            </w:r>
          </w:p>
        </w:tc>
        <w:tc>
          <w:tcPr>
            <w:tcW w:type="pct" w:w="26.08695652173913%"/>
            <w:shd w:fill="F8FAFC"/>
          </w:tcPr>
          <w:p>
            <w:pPr>
              <w:jc w:val="right"/>
            </w:pPr>
            <w:r>
              <w:rPr>
                <w:sz w:val="20"/>
                <w:szCs w:val="20"/>
              </w:rPr>
              <w:t xml:space="preserve">+21.6</w:t>
            </w:r>
          </w:p>
        </w:tc>
        <w:tc>
          <w:tcPr>
            <w:tcW w:type="pct" w:w="12.173913043478262%"/>
            <w:shd w:fill="F8FAFC"/>
          </w:tcPr>
          <w:p>
            <w:pPr>
              <w:jc w:val="right"/>
            </w:pPr>
            <w:r>
              <w:rPr>
                <w:sz w:val="20"/>
                <w:szCs w:val="20"/>
              </w:rPr>
              <w:t xml:space="preserve">+0.21</w:t>
            </w:r>
          </w:p>
        </w:tc>
      </w:tr>
      <w:tr>
        <w:tc>
          <w:tcPr>
            <w:tcW w:type="pct" w:w="3.4782608695652173%"/>
          </w:tcPr>
          <w:p>
            <w:pPr>
              <w:jc w:val="right"/>
            </w:pPr>
            <w:r>
              <w:rPr>
                <w:sz w:val="20"/>
                <w:szCs w:val="20"/>
              </w:rPr>
              <w:t xml:space="preserve">3</w:t>
            </w:r>
          </w:p>
        </w:tc>
        <w:tc>
          <w:tcPr>
            <w:tcW w:type="pct" w:w="15.652173913043478%"/>
          </w:tcPr>
          <w:p>
            <w:pPr>
              <w:jc w:val="left"/>
            </w:pPr>
            <w:r>
              <w:rPr>
                <w:sz w:val="20"/>
                <w:szCs w:val="20"/>
              </w:rPr>
              <w:t xml:space="preserve">Sub-Saharan Africa</w:t>
            </w:r>
          </w:p>
        </w:tc>
        <w:tc>
          <w:tcPr>
            <w:tcW w:type="pct" w:w="18.26086956521739%"/>
          </w:tcPr>
          <w:p>
            <w:pPr>
              <w:jc w:val="right"/>
            </w:pPr>
            <w:r>
              <w:rPr>
                <w:sz w:val="20"/>
                <w:szCs w:val="20"/>
              </w:rPr>
              <w:t xml:space="preserve">+15%</w:t>
            </w:r>
          </w:p>
        </w:tc>
        <w:tc>
          <w:tcPr>
            <w:tcW w:type="pct" w:w="24.347826086956523%"/>
          </w:tcPr>
          <w:p>
            <w:pPr>
              <w:jc w:val="right"/>
            </w:pPr>
            <w:r>
              <w:rPr>
                <w:sz w:val="20"/>
                <w:szCs w:val="20"/>
              </w:rPr>
              <w:t xml:space="preserve">+8.7</w:t>
            </w:r>
          </w:p>
        </w:tc>
        <w:tc>
          <w:tcPr>
            <w:tcW w:type="pct" w:w="26.08695652173913%"/>
          </w:tcPr>
          <w:p>
            <w:pPr>
              <w:jc w:val="right"/>
            </w:pPr>
            <w:r>
              <w:rPr>
                <w:sz w:val="20"/>
                <w:szCs w:val="20"/>
              </w:rPr>
              <w:t xml:space="preserve">+14.4</w:t>
            </w:r>
          </w:p>
        </w:tc>
        <w:tc>
          <w:tcPr>
            <w:tcW w:type="pct" w:w="12.173913043478262%"/>
          </w:tcPr>
          <w:p>
            <w:pPr>
              <w:jc w:val="right"/>
            </w:pPr>
            <w:r>
              <w:rPr>
                <w:sz w:val="20"/>
                <w:szCs w:val="20"/>
              </w:rPr>
              <w:t xml:space="preserve">-0.13</w:t>
            </w:r>
          </w:p>
        </w:tc>
      </w:tr>
      <w:tr>
        <w:tc>
          <w:tcPr>
            <w:tcW w:type="pct" w:w="3.4782608695652173%"/>
            <w:shd w:fill="F8FAFC"/>
          </w:tcPr>
          <w:p>
            <w:pPr>
              <w:jc w:val="right"/>
            </w:pPr>
            <w:r>
              <w:rPr>
                <w:sz w:val="20"/>
                <w:szCs w:val="20"/>
              </w:rPr>
              <w:t xml:space="preserve">4</w:t>
            </w:r>
          </w:p>
        </w:tc>
        <w:tc>
          <w:tcPr>
            <w:tcW w:type="pct" w:w="15.652173913043478%"/>
            <w:shd w:fill="F8FAFC"/>
          </w:tcPr>
          <w:p>
            <w:pPr>
              <w:jc w:val="left"/>
            </w:pPr>
            <w:r>
              <w:rPr>
                <w:sz w:val="20"/>
                <w:szCs w:val="20"/>
              </w:rPr>
              <w:t xml:space="preserve">Latin America</w:t>
            </w:r>
          </w:p>
        </w:tc>
        <w:tc>
          <w:tcPr>
            <w:tcW w:type="pct" w:w="18.26086956521739%"/>
            <w:shd w:fill="F8FAFC"/>
          </w:tcPr>
          <w:p>
            <w:pPr>
              <w:jc w:val="right"/>
            </w:pPr>
            <w:r>
              <w:rPr>
                <w:sz w:val="20"/>
                <w:szCs w:val="20"/>
              </w:rPr>
              <w:t xml:space="preserve">+22%</w:t>
            </w:r>
          </w:p>
        </w:tc>
        <w:tc>
          <w:tcPr>
            <w:tcW w:type="pct" w:w="24.347826086956523%"/>
            <w:shd w:fill="F8FAFC"/>
          </w:tcPr>
          <w:p>
            <w:pPr>
              <w:jc w:val="right"/>
            </w:pPr>
            <w:r>
              <w:rPr>
                <w:sz w:val="20"/>
                <w:szCs w:val="20"/>
              </w:rPr>
              <w:t xml:space="preserve">+3.1</w:t>
            </w:r>
          </w:p>
        </w:tc>
        <w:tc>
          <w:tcPr>
            <w:tcW w:type="pct" w:w="26.08695652173913%"/>
            <w:shd w:fill="F8FAFC"/>
          </w:tcPr>
          <w:p>
            <w:pPr>
              <w:jc w:val="right"/>
            </w:pPr>
            <w:r>
              <w:rPr>
                <w:sz w:val="20"/>
                <w:szCs w:val="20"/>
              </w:rPr>
              <w:t xml:space="preserve">+10.9</w:t>
            </w:r>
          </w:p>
        </w:tc>
        <w:tc>
          <w:tcPr>
            <w:tcW w:type="pct" w:w="12.173913043478262%"/>
            <w:shd w:fill="F8FAFC"/>
          </w:tcPr>
          <w:p>
            <w:pPr>
              <w:jc w:val="right"/>
            </w:pPr>
            <w:r>
              <w:rPr>
                <w:sz w:val="20"/>
                <w:szCs w:val="20"/>
              </w:rPr>
              <w:t xml:space="preserve">-1.09</w:t>
            </w:r>
          </w:p>
        </w:tc>
      </w:tr>
      <w:tr>
        <w:tc>
          <w:tcPr>
            <w:tcW w:type="pct" w:w="3.4782608695652173%"/>
          </w:tcPr>
          <w:p>
            <w:pPr>
              <w:jc w:val="right"/>
            </w:pPr>
            <w:r>
              <w:rPr>
                <w:sz w:val="20"/>
                <w:szCs w:val="20"/>
              </w:rPr>
              <w:t xml:space="preserve">–</w:t>
            </w:r>
          </w:p>
        </w:tc>
        <w:tc>
          <w:tcPr>
            <w:tcW w:type="pct" w:w="15.652173913043478%"/>
          </w:tcPr>
          <w:p>
            <w:pPr>
              <w:jc w:val="left"/>
            </w:pPr>
            <w:r>
              <w:rPr>
                <w:sz w:val="20"/>
                <w:szCs w:val="20"/>
              </w:rPr>
              <w:t xml:space="preserve">World (reference)</w:t>
            </w:r>
          </w:p>
        </w:tc>
        <w:tc>
          <w:tcPr>
            <w:tcW w:type="pct" w:w="18.26086956521739%"/>
          </w:tcPr>
          <w:p>
            <w:pPr>
              <w:jc w:val="right"/>
            </w:pPr>
            <w:r>
              <w:rPr>
                <w:sz w:val="20"/>
                <w:szCs w:val="20"/>
              </w:rPr>
              <w:t xml:space="preserve">+35%</w:t>
            </w:r>
          </w:p>
        </w:tc>
        <w:tc>
          <w:tcPr>
            <w:tcW w:type="pct" w:w="24.347826086956523%"/>
          </w:tcPr>
          <w:p>
            <w:pPr>
              <w:jc w:val="right"/>
            </w:pPr>
            <w:r>
              <w:rPr>
                <w:sz w:val="20"/>
                <w:szCs w:val="20"/>
              </w:rPr>
              <w:t xml:space="preserve">+4.2</w:t>
            </w:r>
          </w:p>
        </w:tc>
        <w:tc>
          <w:tcPr>
            <w:tcW w:type="pct" w:w="26.08695652173913%"/>
          </w:tcPr>
          <w:p>
            <w:pPr>
              <w:jc w:val="right"/>
            </w:pPr>
            <w:r>
              <w:rPr>
                <w:sz w:val="20"/>
                <w:szCs w:val="20"/>
              </w:rPr>
              <w:t xml:space="preserve">+12.8</w:t>
            </w:r>
          </w:p>
        </w:tc>
        <w:tc>
          <w:tcPr>
            <w:tcW w:type="pct" w:w="12.173913043478262%"/>
          </w:tcPr>
          <w:p>
            <w:pPr>
              <w:jc w:val="right"/>
            </w:pPr>
            <w:r>
              <w:rPr>
                <w:sz w:val="20"/>
                <w:szCs w:val="20"/>
              </w:rPr>
              <w:t xml:space="preserve">–</w:t>
            </w:r>
          </w:p>
        </w:tc>
      </w:tr>
    </w:tbl>
    <w:p>
      <w:pPr>
        <w:keepNext/>
        <w:jc w:val="center"/>
      </w:pPr>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00400"/>
                    </a:xfrm>
                    <a:prstGeom prst="rect">
                      <a:avLst/>
                    </a:prstGeom>
                  </pic:spPr>
                </pic:pic>
              </a:graphicData>
            </a:graphic>
          </wp:inline>
        </w:drawing>
      </w:r>
    </w:p>
    <w:p>
      <w:r>
        <w:rPr>
          <w:i/>
          <w:iCs/>
          <w:sz w:val="22"/>
          <w:szCs w:val="22"/>
        </w:rPr>
        <w:t xml:space="preserve">Progress score by region. South Asia leads by a wide margin; Latin America trails. [1]</w:t>
      </w:r>
    </w:p>
    <w:p>
      <w:pPr>
        <w:pStyle w:val="Heading2"/>
      </w:pPr>
      <w:r>
        <w:t xml:space="preserve">How robust is the order?</w:t>
      </w:r>
    </w:p>
    <w:p>
      <w:pPr>
        <w:pBdr>
          <w:left w:val="single" w:color="0E9594" w:sz="12" w:space="8"/>
        </w:pBdr>
        <w:spacing w:before="120" w:after="120"/>
        <w:ind w:left="240"/>
      </w:pPr>
      <w:r>
        <w:rPr>
          <w:b/>
          <w:bCs/>
          <w:color w:val="1E293B"/>
          <w:sz w:val="22"/>
          <w:szCs w:val="22"/>
        </w:rPr>
        <w:t xml:space="preserve">Note:</w:t>
      </w:r>
      <w:r>
        <w:rPr>
          <w:color w:val="1E293B"/>
          <w:sz w:val="22"/>
          <w:szCs w:val="22"/>
        </w:rPr>
        <w:t xml:space="preserve"> South Asia is first and Latin America is last under every variant tested except one (GDP as an absolute dollar gain puts East Asia first and South Asia second). The middle two places are less secure. East Asia and Sub-Saharan Africa swap if either GDP or secondary enrollment is dropped from the score. The test table on the Method page lists every variant.</w:t>
      </w:r>
    </w:p>
    <w:p>
      <w:pPr>
        <w:pStyle w:val="Heading1"/>
      </w:pPr>
      <w:r>
        <w:t xml:space="preserve">Side-by-side comparison</w:t>
      </w:r>
    </w:p>
    <w:p>
      <w:pPr>
        <w:spacing w:after="120"/>
      </w:pPr>
      <w:r>
        <w:rPr>
          <w:sz w:val="22"/>
          <w:szCs w:val="22"/>
        </w:rPr>
        <w:t xml:space="preserve">Three things separate the regions: where they started, how fast they moved, and whether the gap to the world average closed. South Asia and East Asia pulled away from the other two on income. Sub-Saharan Africa gained fastest on health but is still far behind on all three measures. Latin America stays ahead of the world on health and schooling, but its lead has narrowed on all three measures.</w:t>
      </w:r>
    </w:p>
    <w:p>
      <w:pPr>
        <w:keepNext/>
        <w:jc w:val="center"/>
      </w:pPr>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00400"/>
                    </a:xfrm>
                    <a:prstGeom prst="rect">
                      <a:avLst/>
                    </a:prstGeom>
                  </pic:spPr>
                </pic:pic>
              </a:graphicData>
            </a:graphic>
          </wp:inline>
        </w:drawing>
      </w:r>
    </w:p>
    <w:p>
      <w:r>
        <w:rPr>
          <w:i/>
          <w:iCs/>
          <w:sz w:val="22"/>
          <w:szCs w:val="22"/>
        </w:rPr>
        <w:t xml:space="preserve">GDP per capita, 2005–2023. East Asia (World Bank East Asia &amp; Pacific) overtook the World average in 2018; Latin America lost ground against it. [1]</w:t>
      </w:r>
    </w:p>
    <w:p>
      <w:pPr>
        <w:keepNext/>
        <w:jc w:val="center"/>
      </w:pPr>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00400"/>
                    </a:xfrm>
                    <a:prstGeom prst="rect">
                      <a:avLst/>
                    </a:prstGeom>
                  </pic:spPr>
                </pic:pic>
              </a:graphicData>
            </a:graphic>
          </wp:inline>
        </w:drawing>
      </w:r>
    </w:p>
    <w:p>
      <w:r>
        <w:rPr>
          <w:i/>
          <w:iCs/>
          <w:sz w:val="22"/>
          <w:szCs w:val="22"/>
        </w:rPr>
        <w:t xml:space="preserve">The same series indexed to 2005 = 100, which shows growth regardless of starting level. Sub-Saharan Africa's index stays near 100–125 while South Asia passes 230. [1]</w:t>
      </w:r>
    </w:p>
    <w:p>
      <w:pPr>
        <w:keepNext/>
        <w:jc w:val="center"/>
      </w:pPr>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200400"/>
                    </a:xfrm>
                    <a:prstGeom prst="rect">
                      <a:avLst/>
                    </a:prstGeom>
                  </pic:spPr>
                </pic:pic>
              </a:graphicData>
            </a:graphic>
          </wp:inline>
        </w:drawing>
      </w:r>
    </w:p>
    <w:p>
      <w:r>
        <w:rPr>
          <w:i/>
          <w:iCs/>
          <w:sz w:val="22"/>
          <w:szCs w:val="22"/>
        </w:rPr>
        <w:t xml:space="preserve">Life expectancy, 2005–2023. The dip in 2020–21 is visible in South Asia and Latin America. [1]</w:t>
      </w:r>
    </w:p>
    <w:p>
      <w:pPr>
        <w:keepNext/>
        <w:jc w:val="center"/>
      </w:pPr>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200400"/>
                    </a:xfrm>
                    <a:prstGeom prst="rect">
                      <a:avLst/>
                    </a:prstGeom>
                  </pic:spPr>
                </pic:pic>
              </a:graphicData>
            </a:graphic>
          </wp:inline>
        </w:drawing>
      </w:r>
    </w:p>
    <w:p>
      <w:r>
        <w:rPr>
          <w:i/>
          <w:iCs/>
          <w:sz w:val="22"/>
          <w:szCs w:val="22"/>
        </w:rPr>
        <w:t xml:space="preserve">Gross secondary school enrollment. Gross ratios can exceed 100% because they count over-age and under-age pupils. [1]</w:t>
      </w:r>
    </w:p>
    <w:p>
      <w:pPr>
        <w:pStyle w:val="Heading2"/>
      </w:pPr>
      <w:r>
        <w:t xml:space="preserve">Levels, 2005 → 2023</w:t>
      </w:r>
    </w:p>
    <w:p>
      <w:pPr>
        <w:keepNext/>
      </w:pPr>
      <w:r>
        <w:rPr>
          <w:i/>
          <w:iCs/>
          <w:sz w:val="22"/>
          <w:szCs w:val="22"/>
        </w:rPr>
        <w:t xml:space="preserve">World Bank regional aggregates: SAS, EAS, SSF, LCN and WLD. [1]</w:t>
      </w:r>
    </w:p>
    <w:tbl>
      <w:tblPr>
        <w:tblW w:type="pct" w:w="100%"/>
        <w:tblBorders>
          <w:top w:val="none" w:color="auto" w:sz="0"/>
          <w:left w:val="none" w:color="auto" w:sz="0"/>
          <w:bottom w:val="single" w:color="E2E8F0" w:sz="2"/>
          <w:right w:val="none" w:color="auto" w:sz="0"/>
          <w:insideH w:val="single" w:color="E2E8F0" w:sz="2"/>
          <w:insideV w:val="none" w:color="auto" w:sz="0"/>
        </w:tblBorders>
      </w:tblPr>
      <w:tblGrid>
        <w:gridCol w:w="100"/>
        <w:gridCol w:w="100"/>
        <w:gridCol w:w="100"/>
        <w:gridCol w:w="100"/>
      </w:tblGrid>
      <w:tr>
        <w:trPr>
          <w:tblHeader/>
        </w:trPr>
        <w:tc>
          <w:tcPr>
            <w:tcW w:type="pct" w:w="17.821782178217823%"/>
            <w:shd w:fill="0E9594"/>
          </w:tcPr>
          <w:p>
            <w:pPr>
              <w:jc w:val="left"/>
            </w:pPr>
            <w:r>
              <w:rPr>
                <w:b/>
                <w:bCs/>
                <w:color w:val="FFFFFF"/>
                <w:sz w:val="20"/>
                <w:szCs w:val="20"/>
              </w:rPr>
              <w:t xml:space="preserve">Region</w:t>
            </w:r>
          </w:p>
        </w:tc>
        <w:tc>
          <w:tcPr>
            <w:tcW w:type="pct" w:w="29.702970297029704%"/>
            <w:shd w:fill="0E9594"/>
          </w:tcPr>
          <w:p>
            <w:pPr>
              <w:jc w:val="left"/>
            </w:pPr>
            <w:r>
              <w:rPr>
                <w:b/>
                <w:bCs/>
                <w:color w:val="FFFFFF"/>
                <w:sz w:val="20"/>
                <w:szCs w:val="20"/>
              </w:rPr>
              <w:t xml:space="preserve">GDP per capita (constant 2015 US$)</w:t>
            </w:r>
          </w:p>
        </w:tc>
        <w:tc>
          <w:tcPr>
            <w:tcW w:type="pct" w:w="22.77227722772277%"/>
            <w:shd w:fill="0E9594"/>
          </w:tcPr>
          <w:p>
            <w:pPr>
              <w:jc w:val="left"/>
            </w:pPr>
            <w:r>
              <w:rPr>
                <w:b/>
                <w:bCs/>
                <w:color w:val="FFFFFF"/>
                <w:sz w:val="20"/>
                <w:szCs w:val="20"/>
              </w:rPr>
              <w:t xml:space="preserve">Life expectancy (years)</w:t>
            </w:r>
          </w:p>
        </w:tc>
        <w:tc>
          <w:tcPr>
            <w:tcW w:type="pct" w:w="29.702970297029704%"/>
            <w:shd w:fill="0E9594"/>
          </w:tcPr>
          <w:p>
            <w:pPr>
              <w:jc w:val="left"/>
            </w:pPr>
            <w:r>
              <w:rPr>
                <w:b/>
                <w:bCs/>
                <w:color w:val="FFFFFF"/>
                <w:sz w:val="20"/>
                <w:szCs w:val="20"/>
              </w:rPr>
              <w:t xml:space="preserve">Secondary enrollment (% gross)</w:t>
            </w:r>
          </w:p>
        </w:tc>
      </w:tr>
      <w:tr>
        <w:tc>
          <w:tcPr>
            <w:tcW w:type="pct" w:w="17.821782178217823%"/>
          </w:tcPr>
          <w:p>
            <w:pPr>
              <w:jc w:val="left"/>
            </w:pPr>
            <w:r>
              <w:rPr>
                <w:sz w:val="20"/>
                <w:szCs w:val="20"/>
              </w:rPr>
              <w:t xml:space="preserve">South Asia</w:t>
            </w:r>
          </w:p>
        </w:tc>
        <w:tc>
          <w:tcPr>
            <w:tcW w:type="pct" w:w="29.702970297029704%"/>
          </w:tcPr>
          <w:p>
            <w:pPr>
              <w:jc w:val="left"/>
            </w:pPr>
            <w:r>
              <w:rPr>
                <w:sz w:val="20"/>
                <w:szCs w:val="20"/>
              </w:rPr>
              <w:t xml:space="preserve">$940 → $2,201</w:t>
            </w:r>
          </w:p>
        </w:tc>
        <w:tc>
          <w:tcPr>
            <w:tcW w:type="pct" w:w="22.77227722772277%"/>
          </w:tcPr>
          <w:p>
            <w:pPr>
              <w:jc w:val="left"/>
            </w:pPr>
            <w:r>
              <w:rPr>
                <w:sz w:val="20"/>
                <w:szCs w:val="20"/>
              </w:rPr>
              <w:t xml:space="preserve">65.1 → 72.3</w:t>
            </w:r>
          </w:p>
        </w:tc>
        <w:tc>
          <w:tcPr>
            <w:tcW w:type="pct" w:w="29.702970297029704%"/>
          </w:tcPr>
          <w:p>
            <w:pPr>
              <w:jc w:val="left"/>
            </w:pPr>
            <w:r>
              <w:rPr>
                <w:sz w:val="20"/>
                <w:szCs w:val="20"/>
              </w:rPr>
              <w:t xml:space="preserve">54.9% → 77.9%</w:t>
            </w:r>
          </w:p>
        </w:tc>
      </w:tr>
      <w:tr>
        <w:tc>
          <w:tcPr>
            <w:tcW w:type="pct" w:w="17.821782178217823%"/>
            <w:shd w:fill="F8FAFC"/>
          </w:tcPr>
          <w:p>
            <w:pPr>
              <w:jc w:val="left"/>
            </w:pPr>
            <w:r>
              <w:rPr>
                <w:sz w:val="20"/>
                <w:szCs w:val="20"/>
              </w:rPr>
              <w:t xml:space="preserve">East Asia</w:t>
            </w:r>
          </w:p>
        </w:tc>
        <w:tc>
          <w:tcPr>
            <w:tcW w:type="pct" w:w="29.702970297029704%"/>
            <w:shd w:fill="F8FAFC"/>
          </w:tcPr>
          <w:p>
            <w:pPr>
              <w:jc w:val="left"/>
            </w:pPr>
            <w:r>
              <w:rPr>
                <w:sz w:val="20"/>
                <w:szCs w:val="20"/>
              </w:rPr>
              <w:t xml:space="preserve">$6,191 → $12,839</w:t>
            </w:r>
          </w:p>
        </w:tc>
        <w:tc>
          <w:tcPr>
            <w:tcW w:type="pct" w:w="22.77227722772277%"/>
            <w:shd w:fill="F8FAFC"/>
          </w:tcPr>
          <w:p>
            <w:pPr>
              <w:jc w:val="left"/>
            </w:pPr>
            <w:r>
              <w:rPr>
                <w:sz w:val="20"/>
                <w:szCs w:val="20"/>
              </w:rPr>
              <w:t xml:space="preserve">73.3 → 76.7</w:t>
            </w:r>
          </w:p>
        </w:tc>
        <w:tc>
          <w:tcPr>
            <w:tcW w:type="pct" w:w="29.702970297029704%"/>
            <w:shd w:fill="F8FAFC"/>
          </w:tcPr>
          <w:p>
            <w:pPr>
              <w:jc w:val="left"/>
            </w:pPr>
            <w:r>
              <w:rPr>
                <w:sz w:val="20"/>
                <w:szCs w:val="20"/>
              </w:rPr>
              <w:t xml:space="preserve">70.4% → 92.0%</w:t>
            </w:r>
          </w:p>
        </w:tc>
      </w:tr>
      <w:tr>
        <w:tc>
          <w:tcPr>
            <w:tcW w:type="pct" w:w="17.821782178217823%"/>
          </w:tcPr>
          <w:p>
            <w:pPr>
              <w:jc w:val="left"/>
            </w:pPr>
            <w:r>
              <w:rPr>
                <w:sz w:val="20"/>
                <w:szCs w:val="20"/>
              </w:rPr>
              <w:t xml:space="preserve">Sub-Saharan Africa</w:t>
            </w:r>
          </w:p>
        </w:tc>
        <w:tc>
          <w:tcPr>
            <w:tcW w:type="pct" w:w="29.702970297029704%"/>
          </w:tcPr>
          <w:p>
            <w:pPr>
              <w:jc w:val="left"/>
            </w:pPr>
            <w:r>
              <w:rPr>
                <w:sz w:val="20"/>
                <w:szCs w:val="20"/>
              </w:rPr>
              <w:t xml:space="preserve">$1,367 → $1,571</w:t>
            </w:r>
          </w:p>
        </w:tc>
        <w:tc>
          <w:tcPr>
            <w:tcW w:type="pct" w:w="22.77227722772277%"/>
          </w:tcPr>
          <w:p>
            <w:pPr>
              <w:jc w:val="left"/>
            </w:pPr>
            <w:r>
              <w:rPr>
                <w:sz w:val="20"/>
                <w:szCs w:val="20"/>
              </w:rPr>
              <w:t xml:space="preserve">53.9 → 62.6</w:t>
            </w:r>
          </w:p>
        </w:tc>
        <w:tc>
          <w:tcPr>
            <w:tcW w:type="pct" w:w="29.702970297029704%"/>
          </w:tcPr>
          <w:p>
            <w:pPr>
              <w:jc w:val="left"/>
            </w:pPr>
            <w:r>
              <w:rPr>
                <w:sz w:val="20"/>
                <w:szCs w:val="20"/>
              </w:rPr>
              <w:t xml:space="preserve">31.3% → 45.7%</w:t>
            </w:r>
          </w:p>
        </w:tc>
      </w:tr>
      <w:tr>
        <w:tc>
          <w:tcPr>
            <w:tcW w:type="pct" w:w="17.821782178217823%"/>
            <w:shd w:fill="F8FAFC"/>
          </w:tcPr>
          <w:p>
            <w:pPr>
              <w:jc w:val="left"/>
            </w:pPr>
            <w:r>
              <w:rPr>
                <w:sz w:val="20"/>
                <w:szCs w:val="20"/>
              </w:rPr>
              <w:t xml:space="preserve">Latin America</w:t>
            </w:r>
          </w:p>
        </w:tc>
        <w:tc>
          <w:tcPr>
            <w:tcW w:type="pct" w:w="29.702970297029704%"/>
            <w:shd w:fill="F8FAFC"/>
          </w:tcPr>
          <w:p>
            <w:pPr>
              <w:jc w:val="left"/>
            </w:pPr>
            <w:r>
              <w:rPr>
                <w:sz w:val="20"/>
                <w:szCs w:val="20"/>
              </w:rPr>
              <w:t xml:space="preserve">$7,161 → $8,736</w:t>
            </w:r>
          </w:p>
        </w:tc>
        <w:tc>
          <w:tcPr>
            <w:tcW w:type="pct" w:w="22.77227722772277%"/>
            <w:shd w:fill="F8FAFC"/>
          </w:tcPr>
          <w:p>
            <w:pPr>
              <w:jc w:val="left"/>
            </w:pPr>
            <w:r>
              <w:rPr>
                <w:sz w:val="20"/>
                <w:szCs w:val="20"/>
              </w:rPr>
              <w:t xml:space="preserve">72.6 → 75.6</w:t>
            </w:r>
          </w:p>
        </w:tc>
        <w:tc>
          <w:tcPr>
            <w:tcW w:type="pct" w:w="29.702970297029704%"/>
            <w:shd w:fill="F8FAFC"/>
          </w:tcPr>
          <w:p>
            <w:pPr>
              <w:jc w:val="left"/>
            </w:pPr>
            <w:r>
              <w:rPr>
                <w:sz w:val="20"/>
                <w:szCs w:val="20"/>
              </w:rPr>
              <w:t xml:space="preserve">86.6% → 97.5%</w:t>
            </w:r>
          </w:p>
        </w:tc>
      </w:tr>
      <w:tr>
        <w:tc>
          <w:tcPr>
            <w:tcW w:type="pct" w:w="17.821782178217823%"/>
          </w:tcPr>
          <w:p>
            <w:pPr>
              <w:jc w:val="left"/>
            </w:pPr>
            <w:r>
              <w:rPr>
                <w:sz w:val="20"/>
                <w:szCs w:val="20"/>
              </w:rPr>
              <w:t xml:space="preserve">World</w:t>
            </w:r>
          </w:p>
        </w:tc>
        <w:tc>
          <w:tcPr>
            <w:tcW w:type="pct" w:w="29.702970297029704%"/>
          </w:tcPr>
          <w:p>
            <w:pPr>
              <w:jc w:val="left"/>
            </w:pPr>
            <w:r>
              <w:rPr>
                <w:sz w:val="20"/>
                <w:szCs w:val="20"/>
              </w:rPr>
              <w:t xml:space="preserve">$8,639 → $11,671</w:t>
            </w:r>
          </w:p>
        </w:tc>
        <w:tc>
          <w:tcPr>
            <w:tcW w:type="pct" w:w="22.77227722772277%"/>
          </w:tcPr>
          <w:p>
            <w:pPr>
              <w:jc w:val="left"/>
            </w:pPr>
            <w:r>
              <w:rPr>
                <w:sz w:val="20"/>
                <w:szCs w:val="20"/>
              </w:rPr>
              <w:t xml:space="preserve">69.1 → 73.3</w:t>
            </w:r>
          </w:p>
        </w:tc>
        <w:tc>
          <w:tcPr>
            <w:tcW w:type="pct" w:w="29.702970297029704%"/>
          </w:tcPr>
          <w:p>
            <w:pPr>
              <w:jc w:val="left"/>
            </w:pPr>
            <w:r>
              <w:rPr>
                <w:sz w:val="20"/>
                <w:szCs w:val="20"/>
              </w:rPr>
              <w:t xml:space="preserve">64.4% → 77.2%</w:t>
            </w:r>
          </w:p>
        </w:tc>
      </w:tr>
    </w:tbl>
    <w:p>
      <w:pPr>
        <w:pStyle w:val="Heading2"/>
      </w:pPr>
      <w:r>
        <w:t xml:space="preserve">Pace of gain relative to the world</w:t>
      </w:r>
    </w:p>
    <w:p>
      <w:pPr>
        <w:keepNext/>
      </w:pPr>
      <w:r>
        <w:rPr>
          <w:i/>
          <w:iCs/>
          <w:sz w:val="22"/>
          <w:szCs w:val="22"/>
        </w:rPr>
        <w:t xml:space="preserve">Each region's 2005–2023 gain divided by the World's gain on the same measure. Above 1.0× means the region improved faster than the world. [1]</w:t>
      </w:r>
    </w:p>
    <w:tbl>
      <w:tblPr>
        <w:tblW w:type="pct" w:w="100%"/>
        <w:tblBorders>
          <w:top w:val="none" w:color="auto" w:sz="0"/>
          <w:left w:val="none" w:color="auto" w:sz="0"/>
          <w:bottom w:val="single" w:color="E2E8F0" w:sz="2"/>
          <w:right w:val="none" w:color="auto" w:sz="0"/>
          <w:insideH w:val="single" w:color="E2E8F0" w:sz="2"/>
          <w:insideV w:val="none" w:color="auto" w:sz="0"/>
        </w:tblBorders>
      </w:tblPr>
      <w:tblGrid>
        <w:gridCol w:w="100"/>
        <w:gridCol w:w="100"/>
        <w:gridCol w:w="100"/>
        <w:gridCol w:w="100"/>
      </w:tblGrid>
      <w:tr>
        <w:trPr>
          <w:tblHeader/>
        </w:trPr>
        <w:tc>
          <w:tcPr>
            <w:tcW w:type="pct" w:w="16.822429906542055%"/>
            <w:shd w:fill="0E9594"/>
          </w:tcPr>
          <w:p>
            <w:pPr>
              <w:jc w:val="left"/>
            </w:pPr>
            <w:r>
              <w:rPr>
                <w:b/>
                <w:bCs/>
                <w:color w:val="FFFFFF"/>
                <w:sz w:val="20"/>
                <w:szCs w:val="20"/>
              </w:rPr>
              <w:t xml:space="preserve">Region</w:t>
            </w:r>
          </w:p>
        </w:tc>
        <w:tc>
          <w:tcPr>
            <w:tcW w:type="pct" w:w="28.037383177570092%"/>
            <w:shd w:fill="0E9594"/>
          </w:tcPr>
          <w:p>
            <w:pPr>
              <w:jc w:val="left"/>
            </w:pPr>
            <w:r>
              <w:rPr>
                <w:b/>
                <w:bCs/>
                <w:color w:val="FFFFFF"/>
                <w:sz w:val="20"/>
                <w:szCs w:val="20"/>
              </w:rPr>
              <w:t xml:space="preserve">GDP per capita growth vs World</w:t>
            </w:r>
          </w:p>
        </w:tc>
        <w:tc>
          <w:tcPr>
            <w:tcW w:type="pct" w:w="27.102803738317757%"/>
            <w:shd w:fill="0E9594"/>
          </w:tcPr>
          <w:p>
            <w:pPr>
              <w:jc w:val="left"/>
            </w:pPr>
            <w:r>
              <w:rPr>
                <w:b/>
                <w:bCs/>
                <w:color w:val="FFFFFF"/>
                <w:sz w:val="20"/>
                <w:szCs w:val="20"/>
              </w:rPr>
              <w:t xml:space="preserve">Life expectancy gain vs World</w:t>
            </w:r>
          </w:p>
        </w:tc>
        <w:tc>
          <w:tcPr>
            <w:tcW w:type="pct" w:w="28.037383177570092%"/>
            <w:shd w:fill="0E9594"/>
          </w:tcPr>
          <w:p>
            <w:pPr>
              <w:jc w:val="left"/>
            </w:pPr>
            <w:r>
              <w:rPr>
                <w:b/>
                <w:bCs/>
                <w:color w:val="FFFFFF"/>
                <w:sz w:val="20"/>
                <w:szCs w:val="20"/>
              </w:rPr>
              <w:t xml:space="preserve">Secondary enrollment gain vs World</w:t>
            </w:r>
          </w:p>
        </w:tc>
      </w:tr>
      <w:tr>
        <w:tc>
          <w:tcPr>
            <w:tcW w:type="pct" w:w="16.822429906542055%"/>
          </w:tcPr>
          <w:p>
            <w:pPr>
              <w:jc w:val="left"/>
            </w:pPr>
            <w:r>
              <w:rPr>
                <w:sz w:val="20"/>
                <w:szCs w:val="20"/>
              </w:rPr>
              <w:t xml:space="preserve">South Asia</w:t>
            </w:r>
          </w:p>
        </w:tc>
        <w:tc>
          <w:tcPr>
            <w:tcW w:type="pct" w:w="28.037383177570092%"/>
          </w:tcPr>
          <w:p>
            <w:pPr>
              <w:jc w:val="left"/>
            </w:pPr>
            <w:r>
              <w:rPr>
                <w:sz w:val="20"/>
                <w:szCs w:val="20"/>
              </w:rPr>
              <w:t xml:space="preserve">3.8×</w:t>
            </w:r>
          </w:p>
        </w:tc>
        <w:tc>
          <w:tcPr>
            <w:tcW w:type="pct" w:w="27.102803738317757%"/>
          </w:tcPr>
          <w:p>
            <w:pPr>
              <w:jc w:val="left"/>
            </w:pPr>
            <w:r>
              <w:rPr>
                <w:sz w:val="20"/>
                <w:szCs w:val="20"/>
              </w:rPr>
              <w:t xml:space="preserve">1.7×</w:t>
            </w:r>
          </w:p>
        </w:tc>
        <w:tc>
          <w:tcPr>
            <w:tcW w:type="pct" w:w="28.037383177570092%"/>
          </w:tcPr>
          <w:p>
            <w:pPr>
              <w:jc w:val="left"/>
            </w:pPr>
            <w:r>
              <w:rPr>
                <w:sz w:val="20"/>
                <w:szCs w:val="20"/>
              </w:rPr>
              <w:t xml:space="preserve">1.8×</w:t>
            </w:r>
          </w:p>
        </w:tc>
      </w:tr>
      <w:tr>
        <w:tc>
          <w:tcPr>
            <w:tcW w:type="pct" w:w="16.822429906542055%"/>
            <w:shd w:fill="F8FAFC"/>
          </w:tcPr>
          <w:p>
            <w:pPr>
              <w:jc w:val="left"/>
            </w:pPr>
            <w:r>
              <w:rPr>
                <w:sz w:val="20"/>
                <w:szCs w:val="20"/>
              </w:rPr>
              <w:t xml:space="preserve">East Asia</w:t>
            </w:r>
          </w:p>
        </w:tc>
        <w:tc>
          <w:tcPr>
            <w:tcW w:type="pct" w:w="28.037383177570092%"/>
            <w:shd w:fill="F8FAFC"/>
          </w:tcPr>
          <w:p>
            <w:pPr>
              <w:jc w:val="left"/>
            </w:pPr>
            <w:r>
              <w:rPr>
                <w:sz w:val="20"/>
                <w:szCs w:val="20"/>
              </w:rPr>
              <w:t xml:space="preserve">3.1×</w:t>
            </w:r>
          </w:p>
        </w:tc>
        <w:tc>
          <w:tcPr>
            <w:tcW w:type="pct" w:w="27.102803738317757%"/>
            <w:shd w:fill="F8FAFC"/>
          </w:tcPr>
          <w:p>
            <w:pPr>
              <w:jc w:val="left"/>
            </w:pPr>
            <w:r>
              <w:rPr>
                <w:sz w:val="20"/>
                <w:szCs w:val="20"/>
              </w:rPr>
              <w:t xml:space="preserve">0.8×</w:t>
            </w:r>
          </w:p>
        </w:tc>
        <w:tc>
          <w:tcPr>
            <w:tcW w:type="pct" w:w="28.037383177570092%"/>
            <w:shd w:fill="F8FAFC"/>
          </w:tcPr>
          <w:p>
            <w:pPr>
              <w:jc w:val="left"/>
            </w:pPr>
            <w:r>
              <w:rPr>
                <w:sz w:val="20"/>
                <w:szCs w:val="20"/>
              </w:rPr>
              <w:t xml:space="preserve">1.7×</w:t>
            </w:r>
          </w:p>
        </w:tc>
      </w:tr>
      <w:tr>
        <w:tc>
          <w:tcPr>
            <w:tcW w:type="pct" w:w="16.822429906542055%"/>
          </w:tcPr>
          <w:p>
            <w:pPr>
              <w:jc w:val="left"/>
            </w:pPr>
            <w:r>
              <w:rPr>
                <w:sz w:val="20"/>
                <w:szCs w:val="20"/>
              </w:rPr>
              <w:t xml:space="preserve">Sub-Saharan Africa</w:t>
            </w:r>
          </w:p>
        </w:tc>
        <w:tc>
          <w:tcPr>
            <w:tcW w:type="pct" w:w="28.037383177570092%"/>
          </w:tcPr>
          <w:p>
            <w:pPr>
              <w:jc w:val="left"/>
            </w:pPr>
            <w:r>
              <w:rPr>
                <w:sz w:val="20"/>
                <w:szCs w:val="20"/>
              </w:rPr>
              <w:t xml:space="preserve">0.4×</w:t>
            </w:r>
          </w:p>
        </w:tc>
        <w:tc>
          <w:tcPr>
            <w:tcW w:type="pct" w:w="27.102803738317757%"/>
          </w:tcPr>
          <w:p>
            <w:pPr>
              <w:jc w:val="left"/>
            </w:pPr>
            <w:r>
              <w:rPr>
                <w:sz w:val="20"/>
                <w:szCs w:val="20"/>
              </w:rPr>
              <w:t xml:space="preserve">2.1×</w:t>
            </w:r>
          </w:p>
        </w:tc>
        <w:tc>
          <w:tcPr>
            <w:tcW w:type="pct" w:w="28.037383177570092%"/>
          </w:tcPr>
          <w:p>
            <w:pPr>
              <w:jc w:val="left"/>
            </w:pPr>
            <w:r>
              <w:rPr>
                <w:sz w:val="20"/>
                <w:szCs w:val="20"/>
              </w:rPr>
              <w:t xml:space="preserve">1.1×</w:t>
            </w:r>
          </w:p>
        </w:tc>
      </w:tr>
      <w:tr>
        <w:tc>
          <w:tcPr>
            <w:tcW w:type="pct" w:w="16.822429906542055%"/>
            <w:shd w:fill="F8FAFC"/>
          </w:tcPr>
          <w:p>
            <w:pPr>
              <w:jc w:val="left"/>
            </w:pPr>
            <w:r>
              <w:rPr>
                <w:sz w:val="20"/>
                <w:szCs w:val="20"/>
              </w:rPr>
              <w:t xml:space="preserve">Latin America</w:t>
            </w:r>
          </w:p>
        </w:tc>
        <w:tc>
          <w:tcPr>
            <w:tcW w:type="pct" w:w="28.037383177570092%"/>
            <w:shd w:fill="F8FAFC"/>
          </w:tcPr>
          <w:p>
            <w:pPr>
              <w:jc w:val="left"/>
            </w:pPr>
            <w:r>
              <w:rPr>
                <w:sz w:val="20"/>
                <w:szCs w:val="20"/>
              </w:rPr>
              <w:t xml:space="preserve">0.6×</w:t>
            </w:r>
          </w:p>
        </w:tc>
        <w:tc>
          <w:tcPr>
            <w:tcW w:type="pct" w:w="27.102803738317757%"/>
            <w:shd w:fill="F8FAFC"/>
          </w:tcPr>
          <w:p>
            <w:pPr>
              <w:jc w:val="left"/>
            </w:pPr>
            <w:r>
              <w:rPr>
                <w:sz w:val="20"/>
                <w:szCs w:val="20"/>
              </w:rPr>
              <w:t xml:space="preserve">0.7×</w:t>
            </w:r>
          </w:p>
        </w:tc>
        <w:tc>
          <w:tcPr>
            <w:tcW w:type="pct" w:w="28.037383177570092%"/>
            <w:shd w:fill="F8FAFC"/>
          </w:tcPr>
          <w:p>
            <w:pPr>
              <w:jc w:val="left"/>
            </w:pPr>
            <w:r>
              <w:rPr>
                <w:sz w:val="20"/>
                <w:szCs w:val="20"/>
              </w:rPr>
              <w:t xml:space="preserve">0.9×</w:t>
            </w:r>
          </w:p>
        </w:tc>
      </w:tr>
    </w:tbl>
    <w:p>
      <w:pPr>
        <w:keepNext/>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571875"/>
                    </a:xfrm>
                    <a:prstGeom prst="rect">
                      <a:avLst/>
                    </a:prstGeom>
                  </pic:spPr>
                </pic:pic>
              </a:graphicData>
            </a:graphic>
          </wp:inline>
        </w:drawing>
      </w:r>
    </w:p>
    <w:p>
      <w:r>
        <w:rPr>
          <w:i/>
          <w:iCs/>
          <w:sz w:val="22"/>
          <w:szCs w:val="22"/>
        </w:rPr>
        <w:t xml:space="preserve">Each region as a percentage of the World value, in 2005 (grey) and 2023 (blue). The dashed line is parity with the world. South Asia crossed parity on secondary enrollment; Sub-Saharan Africa and Latin America moved away from parity on income. [1]</w:t>
      </w:r>
    </w:p>
    <w:p>
      <w:pPr>
        <w:pStyle w:val="Heading2"/>
      </w:pPr>
      <w:r>
        <w:t xml:space="preserve">Population and demographics (UN), 2005 → 2023</w:t>
      </w:r>
    </w:p>
    <w:p>
      <w:pPr>
        <w:keepNext/>
      </w:pPr>
      <w:r>
        <w:rPr>
          <w:i/>
          <w:iCs/>
          <w:sz w:val="22"/>
          <w:szCs w:val="22"/>
        </w:rPr>
        <w:t xml:space="preserve">UN World Population Prospects 2024, median variant, estimates. UN regions differ slightly from World Bank regions: UN Southern Asia includes Iran, and UN Eastern and South-Eastern Asia excludes Pacific islands. [2][3]</w:t>
      </w:r>
    </w:p>
    <w:tbl>
      <w:tblPr>
        <w:tblW w:type="pct" w:w="100%"/>
        <w:tblBorders>
          <w:top w:val="none" w:color="auto" w:sz="0"/>
          <w:left w:val="none" w:color="auto" w:sz="0"/>
          <w:bottom w:val="single" w:color="E2E8F0" w:sz="2"/>
          <w:right w:val="none" w:color="auto" w:sz="0"/>
          <w:insideH w:val="single" w:color="E2E8F0" w:sz="2"/>
          <w:insideV w:val="none" w:color="auto" w:sz="0"/>
        </w:tblBorders>
      </w:tblPr>
      <w:tblGrid>
        <w:gridCol w:w="100"/>
        <w:gridCol w:w="100"/>
        <w:gridCol w:w="100"/>
        <w:gridCol w:w="100"/>
        <w:gridCol w:w="100"/>
      </w:tblGrid>
      <w:tr>
        <w:trPr>
          <w:tblHeader/>
        </w:trPr>
        <w:tc>
          <w:tcPr>
            <w:tcW w:type="pct" w:w="15.652173913043478%"/>
            <w:shd w:fill="0E9594"/>
          </w:tcPr>
          <w:p>
            <w:pPr>
              <w:jc w:val="left"/>
            </w:pPr>
            <w:r>
              <w:rPr>
                <w:b/>
                <w:bCs/>
                <w:color w:val="FFFFFF"/>
                <w:sz w:val="20"/>
                <w:szCs w:val="20"/>
              </w:rPr>
              <w:t xml:space="preserve">Region</w:t>
            </w:r>
          </w:p>
        </w:tc>
        <w:tc>
          <w:tcPr>
            <w:tcW w:type="pct" w:w="18.26086956521739%"/>
            <w:shd w:fill="0E9594"/>
          </w:tcPr>
          <w:p>
            <w:pPr>
              <w:jc w:val="left"/>
            </w:pPr>
            <w:r>
              <w:rPr>
                <w:b/>
                <w:bCs/>
                <w:color w:val="FFFFFF"/>
                <w:sz w:val="20"/>
                <w:szCs w:val="20"/>
              </w:rPr>
              <w:t xml:space="preserve">Population (millions)</w:t>
            </w:r>
          </w:p>
        </w:tc>
        <w:tc>
          <w:tcPr>
            <w:tcW w:type="pct" w:w="24.347826086956523%"/>
            <w:shd w:fill="0E9594"/>
          </w:tcPr>
          <w:p>
            <w:pPr>
              <w:jc w:val="left"/>
            </w:pPr>
            <w:r>
              <w:rPr>
                <w:b/>
                <w:bCs/>
                <w:color w:val="FFFFFF"/>
                <w:sz w:val="20"/>
                <w:szCs w:val="20"/>
              </w:rPr>
              <w:t xml:space="preserve">Fertility (births per woman)</w:t>
            </w:r>
          </w:p>
        </w:tc>
        <w:tc>
          <w:tcPr>
            <w:tcW w:type="pct" w:w="15.652173913043478%"/>
            <w:shd w:fill="0E9594"/>
          </w:tcPr>
          <w:p>
            <w:pPr>
              <w:jc w:val="left"/>
            </w:pPr>
            <w:r>
              <w:rPr>
                <w:b/>
                <w:bCs/>
                <w:color w:val="FFFFFF"/>
                <w:sz w:val="20"/>
                <w:szCs w:val="20"/>
              </w:rPr>
              <w:t xml:space="preserve">Median age (years)</w:t>
            </w:r>
          </w:p>
        </w:tc>
        <w:tc>
          <w:tcPr>
            <w:tcW w:type="pct" w:w="26.08695652173913%"/>
            <w:shd w:fill="0E9594"/>
          </w:tcPr>
          <w:p>
            <w:pPr>
              <w:jc w:val="left"/>
            </w:pPr>
            <w:r>
              <w:rPr>
                <w:b/>
                <w:bCs/>
                <w:color w:val="FFFFFF"/>
                <w:sz w:val="20"/>
                <w:szCs w:val="20"/>
              </w:rPr>
              <w:t xml:space="preserve">Dependency ratio (per 100 aged 15–64)</w:t>
            </w:r>
          </w:p>
        </w:tc>
      </w:tr>
      <w:tr>
        <w:tc>
          <w:tcPr>
            <w:tcW w:type="pct" w:w="15.652173913043478%"/>
          </w:tcPr>
          <w:p>
            <w:pPr>
              <w:jc w:val="left"/>
            </w:pPr>
            <w:r>
              <w:rPr>
                <w:sz w:val="20"/>
                <w:szCs w:val="20"/>
              </w:rPr>
              <w:t xml:space="preserve">South Asia</w:t>
            </w:r>
          </w:p>
        </w:tc>
        <w:tc>
          <w:tcPr>
            <w:tcW w:type="pct" w:w="18.26086956521739%"/>
          </w:tcPr>
          <w:p>
            <w:pPr>
              <w:jc w:val="left"/>
            </w:pPr>
            <w:r>
              <w:rPr>
                <w:sz w:val="20"/>
                <w:szCs w:val="20"/>
              </w:rPr>
              <w:t xml:space="preserve">1,619 → 2,043</w:t>
            </w:r>
          </w:p>
        </w:tc>
        <w:tc>
          <w:tcPr>
            <w:tcW w:type="pct" w:w="24.347826086956523%"/>
          </w:tcPr>
          <w:p>
            <w:pPr>
              <w:jc w:val="left"/>
            </w:pPr>
            <w:r>
              <w:rPr>
                <w:sz w:val="20"/>
                <w:szCs w:val="20"/>
              </w:rPr>
              <w:t xml:space="preserve">3.07 → 2.22</w:t>
            </w:r>
          </w:p>
        </w:tc>
        <w:tc>
          <w:tcPr>
            <w:tcW w:type="pct" w:w="15.652173913043478%"/>
          </w:tcPr>
          <w:p>
            <w:pPr>
              <w:jc w:val="left"/>
            </w:pPr>
            <w:r>
              <w:rPr>
                <w:sz w:val="20"/>
                <w:szCs w:val="20"/>
              </w:rPr>
              <w:t xml:space="preserve">21.5 → 26.8</w:t>
            </w:r>
          </w:p>
        </w:tc>
        <w:tc>
          <w:tcPr>
            <w:tcW w:type="pct" w:w="26.08695652173913%"/>
          </w:tcPr>
          <w:p>
            <w:pPr>
              <w:jc w:val="left"/>
            </w:pPr>
            <w:r>
              <w:rPr>
                <w:sz w:val="20"/>
                <w:szCs w:val="20"/>
              </w:rPr>
              <w:t xml:space="preserve">63.8 → 50.6</w:t>
            </w:r>
          </w:p>
        </w:tc>
      </w:tr>
      <w:tr>
        <w:tc>
          <w:tcPr>
            <w:tcW w:type="pct" w:w="15.652173913043478%"/>
            <w:shd w:fill="F8FAFC"/>
          </w:tcPr>
          <w:p>
            <w:pPr>
              <w:jc w:val="left"/>
            </w:pPr>
            <w:r>
              <w:rPr>
                <w:sz w:val="20"/>
                <w:szCs w:val="20"/>
              </w:rPr>
              <w:t xml:space="preserve">East Asia</w:t>
            </w:r>
          </w:p>
        </w:tc>
        <w:tc>
          <w:tcPr>
            <w:tcW w:type="pct" w:w="18.26086956521739%"/>
            <w:shd w:fill="F8FAFC"/>
          </w:tcPr>
          <w:p>
            <w:pPr>
              <w:jc w:val="left"/>
            </w:pPr>
            <w:r>
              <w:rPr>
                <w:sz w:val="20"/>
                <w:szCs w:val="20"/>
              </w:rPr>
              <w:t xml:space="preserve">2,107 → 2,350</w:t>
            </w:r>
          </w:p>
        </w:tc>
        <w:tc>
          <w:tcPr>
            <w:tcW w:type="pct" w:w="24.347826086956523%"/>
            <w:shd w:fill="F8FAFC"/>
          </w:tcPr>
          <w:p>
            <w:pPr>
              <w:jc w:val="left"/>
            </w:pPr>
            <w:r>
              <w:rPr>
                <w:sz w:val="20"/>
                <w:szCs w:val="20"/>
              </w:rPr>
              <w:t xml:space="preserve">1.80 → 1.33</w:t>
            </w:r>
          </w:p>
        </w:tc>
        <w:tc>
          <w:tcPr>
            <w:tcW w:type="pct" w:w="15.652173913043478%"/>
            <w:shd w:fill="F8FAFC"/>
          </w:tcPr>
          <w:p>
            <w:pPr>
              <w:jc w:val="left"/>
            </w:pPr>
            <w:r>
              <w:rPr>
                <w:sz w:val="20"/>
                <w:szCs w:val="20"/>
              </w:rPr>
              <w:t xml:space="preserve">30.5 → 37.0</w:t>
            </w:r>
          </w:p>
        </w:tc>
        <w:tc>
          <w:tcPr>
            <w:tcW w:type="pct" w:w="26.08695652173913%"/>
            <w:shd w:fill="F8FAFC"/>
          </w:tcPr>
          <w:p>
            <w:pPr>
              <w:jc w:val="left"/>
            </w:pPr>
            <w:r>
              <w:rPr>
                <w:sz w:val="20"/>
                <w:szCs w:val="20"/>
              </w:rPr>
              <w:t xml:space="preserve">43.8 → 46.5</w:t>
            </w:r>
          </w:p>
        </w:tc>
      </w:tr>
      <w:tr>
        <w:tc>
          <w:tcPr>
            <w:tcW w:type="pct" w:w="15.652173913043478%"/>
          </w:tcPr>
          <w:p>
            <w:pPr>
              <w:jc w:val="left"/>
            </w:pPr>
            <w:r>
              <w:rPr>
                <w:sz w:val="20"/>
                <w:szCs w:val="20"/>
              </w:rPr>
              <w:t xml:space="preserve">Sub-Saharan Africa</w:t>
            </w:r>
          </w:p>
        </w:tc>
        <w:tc>
          <w:tcPr>
            <w:tcW w:type="pct" w:w="18.26086956521739%"/>
          </w:tcPr>
          <w:p>
            <w:pPr>
              <w:jc w:val="left"/>
            </w:pPr>
            <w:r>
              <w:rPr>
                <w:sz w:val="20"/>
                <w:szCs w:val="20"/>
              </w:rPr>
              <w:t xml:space="preserve">750 → 1,212</w:t>
            </w:r>
          </w:p>
        </w:tc>
        <w:tc>
          <w:tcPr>
            <w:tcW w:type="pct" w:w="24.347826086956523%"/>
          </w:tcPr>
          <w:p>
            <w:pPr>
              <w:jc w:val="left"/>
            </w:pPr>
            <w:r>
              <w:rPr>
                <w:sz w:val="20"/>
                <w:szCs w:val="20"/>
              </w:rPr>
              <w:t xml:space="preserve">5.56 → 4.32</w:t>
            </w:r>
          </w:p>
        </w:tc>
        <w:tc>
          <w:tcPr>
            <w:tcW w:type="pct" w:w="15.652173913043478%"/>
          </w:tcPr>
          <w:p>
            <w:pPr>
              <w:jc w:val="left"/>
            </w:pPr>
            <w:r>
              <w:rPr>
                <w:sz w:val="20"/>
                <w:szCs w:val="20"/>
              </w:rPr>
              <w:t xml:space="preserve">16.6 → 18.1</w:t>
            </w:r>
          </w:p>
        </w:tc>
        <w:tc>
          <w:tcPr>
            <w:tcW w:type="pct" w:w="26.08695652173913%"/>
          </w:tcPr>
          <w:p>
            <w:pPr>
              <w:jc w:val="left"/>
            </w:pPr>
            <w:r>
              <w:rPr>
                <w:sz w:val="20"/>
                <w:szCs w:val="20"/>
              </w:rPr>
              <w:t xml:space="preserve">89.3 → 79.2</w:t>
            </w:r>
          </w:p>
        </w:tc>
      </w:tr>
      <w:tr>
        <w:tc>
          <w:tcPr>
            <w:tcW w:type="pct" w:w="15.652173913043478%"/>
            <w:shd w:fill="F8FAFC"/>
          </w:tcPr>
          <w:p>
            <w:pPr>
              <w:jc w:val="left"/>
            </w:pPr>
            <w:r>
              <w:rPr>
                <w:sz w:val="20"/>
                <w:szCs w:val="20"/>
              </w:rPr>
              <w:t xml:space="preserve">Latin America</w:t>
            </w:r>
          </w:p>
        </w:tc>
        <w:tc>
          <w:tcPr>
            <w:tcW w:type="pct" w:w="18.26086956521739%"/>
            <w:shd w:fill="F8FAFC"/>
          </w:tcPr>
          <w:p>
            <w:pPr>
              <w:jc w:val="left"/>
            </w:pPr>
            <w:r>
              <w:rPr>
                <w:sz w:val="20"/>
                <w:szCs w:val="20"/>
              </w:rPr>
              <w:t xml:space="preserve">556 → 659</w:t>
            </w:r>
          </w:p>
        </w:tc>
        <w:tc>
          <w:tcPr>
            <w:tcW w:type="pct" w:w="24.347826086956523%"/>
            <w:shd w:fill="F8FAFC"/>
          </w:tcPr>
          <w:p>
            <w:pPr>
              <w:jc w:val="left"/>
            </w:pPr>
            <w:r>
              <w:rPr>
                <w:sz w:val="20"/>
                <w:szCs w:val="20"/>
              </w:rPr>
              <w:t xml:space="preserve">2.34 → 1.81</w:t>
            </w:r>
          </w:p>
        </w:tc>
        <w:tc>
          <w:tcPr>
            <w:tcW w:type="pct" w:w="15.652173913043478%"/>
            <w:shd w:fill="F8FAFC"/>
          </w:tcPr>
          <w:p>
            <w:pPr>
              <w:jc w:val="left"/>
            </w:pPr>
            <w:r>
              <w:rPr>
                <w:sz w:val="20"/>
                <w:szCs w:val="20"/>
              </w:rPr>
              <w:t xml:space="preserve">24.7 → 30.9</w:t>
            </w:r>
          </w:p>
        </w:tc>
        <w:tc>
          <w:tcPr>
            <w:tcW w:type="pct" w:w="26.08695652173913%"/>
            <w:shd w:fill="F8FAFC"/>
          </w:tcPr>
          <w:p>
            <w:pPr>
              <w:jc w:val="left"/>
            </w:pPr>
            <w:r>
              <w:rPr>
                <w:sz w:val="20"/>
                <w:szCs w:val="20"/>
              </w:rPr>
              <w:t xml:space="preserve">56.2 → 48.0</w:t>
            </w:r>
          </w:p>
        </w:tc>
      </w:tr>
      <w:tr>
        <w:tc>
          <w:tcPr>
            <w:tcW w:type="pct" w:w="15.652173913043478%"/>
          </w:tcPr>
          <w:p>
            <w:pPr>
              <w:jc w:val="left"/>
            </w:pPr>
            <w:r>
              <w:rPr>
                <w:sz w:val="20"/>
                <w:szCs w:val="20"/>
              </w:rPr>
              <w:t xml:space="preserve">World</w:t>
            </w:r>
          </w:p>
        </w:tc>
        <w:tc>
          <w:tcPr>
            <w:tcW w:type="pct" w:w="18.26086956521739%"/>
          </w:tcPr>
          <w:p>
            <w:pPr>
              <w:jc w:val="left"/>
            </w:pPr>
            <w:r>
              <w:rPr>
                <w:sz w:val="20"/>
                <w:szCs w:val="20"/>
              </w:rPr>
              <w:t xml:space="preserve">6,587 → 8,092</w:t>
            </w:r>
          </w:p>
        </w:tc>
        <w:tc>
          <w:tcPr>
            <w:tcW w:type="pct" w:w="24.347826086956523%"/>
          </w:tcPr>
          <w:p>
            <w:pPr>
              <w:jc w:val="left"/>
            </w:pPr>
            <w:r>
              <w:rPr>
                <w:sz w:val="20"/>
                <w:szCs w:val="20"/>
              </w:rPr>
              <w:t xml:space="preserve">2.63 → 2.25</w:t>
            </w:r>
          </w:p>
        </w:tc>
        <w:tc>
          <w:tcPr>
            <w:tcW w:type="pct" w:w="15.652173913043478%"/>
          </w:tcPr>
          <w:p>
            <w:pPr>
              <w:jc w:val="left"/>
            </w:pPr>
            <w:r>
              <w:rPr>
                <w:sz w:val="20"/>
                <w:szCs w:val="20"/>
              </w:rPr>
              <w:t xml:space="preserve">26.1 → 30.4</w:t>
            </w:r>
          </w:p>
        </w:tc>
        <w:tc>
          <w:tcPr>
            <w:tcW w:type="pct" w:w="26.08695652173913%"/>
          </w:tcPr>
          <w:p>
            <w:pPr>
              <w:jc w:val="left"/>
            </w:pPr>
            <w:r>
              <w:rPr>
                <w:sz w:val="20"/>
                <w:szCs w:val="20"/>
              </w:rPr>
              <w:t xml:space="preserve">55.6 → 53.9</w:t>
            </w:r>
          </w:p>
        </w:tc>
      </w:tr>
    </w:tbl>
    <w:p>
      <w:pPr>
        <w:pStyle w:val="Heading2"/>
      </w:pPr>
      <w:r>
        <w:t xml:space="preserve">What the demographics add</w:t>
      </w:r>
    </w:p>
    <w:p>
      <w:pPr>
        <w:spacing w:after="120"/>
      </w:pPr>
      <w:r>
        <w:rPr>
          <w:sz w:val="22"/>
          <w:szCs w:val="22"/>
        </w:rPr>
        <w:t xml:space="preserve">Sub-Saharan Africa added about 462 million people (+62%), almost three times the world's growth rate, which helps explain its weak income per head [2]. East Asia is the only region where the dependency ratio rose (43.8 to 46.5 per 100), because it is ageing and its fertility rate, 1.33 births per woman, is well below the world's 2.25 [2][3]. South Asia's dependency ratio fell by 13 points, to below the world's. This is the demographic dividend that tends to accompany faster income growth.</w:t>
      </w:r>
    </w:p>
    <w:p>
      <w:pPr>
        <w:pStyle w:val="Heading1"/>
      </w:pPr>
      <w:r>
        <w:t xml:space="preserve">South Asia</w:t>
      </w:r>
    </w:p>
    <w:p>
      <w:pPr>
        <w:spacing w:after="120"/>
      </w:pPr>
      <w:r>
        <w:rPr>
          <w:b/>
          <w:bCs/>
          <w:sz w:val="22"/>
          <w:szCs w:val="22"/>
        </w:rPr>
        <w:t xml:space="preserve">Rank 1.</w:t>
      </w:r>
      <w:r>
        <w:rPr>
          <w:sz w:val="22"/>
          <w:szCs w:val="22"/>
        </w:rPr>
        <w:t xml:space="preserve"> South Asia had the strongest all-round progress. It grew fastest on income, led on schooling gains, and closed most of its gaps to the world average.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BIGGEST GAIN</w:t>
            </w:r>
          </w:p>
          <w:p>
            <w:r>
              <w:rPr>
                <w:b/>
                <w:bCs/>
                <w:color w:val="0B7A79"/>
                <w:sz w:val="32"/>
                <w:szCs w:val="32"/>
              </w:rPr>
              <w:t xml:space="preserve">GDP per capita +134%</w:t>
            </w:r>
          </w:p>
          <w:p>
            <w:r>
              <w:rPr>
                <w:color w:val="64748B"/>
                <w:sz w:val="16"/>
                <w:szCs w:val="16"/>
              </w:rPr>
              <w:t xml:space="preserve">$940 → $2,201, 3.8× the World's growth of 35% [1]</w:t>
            </w:r>
          </w:p>
        </w:tc>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BIGGEST GAP</w:t>
            </w:r>
          </w:p>
          <w:p>
            <w:r>
              <w:rPr>
                <w:b/>
                <w:bCs/>
                <w:color w:val="0B7A79"/>
                <w:sz w:val="32"/>
                <w:szCs w:val="32"/>
              </w:rPr>
              <w:t xml:space="preserve">GDP per capita: 18.9% of World</w:t>
            </w:r>
          </w:p>
          <w:p>
            <w:r>
              <w:rPr>
                <w:color w:val="64748B"/>
                <w:sz w:val="16"/>
                <w:szCs w:val="16"/>
              </w:rPr>
              <w:t xml:space="preserve">Up from 10.9% in 2005, so the relative gap narrowed [1]</w:t>
            </w:r>
          </w:p>
        </w:tc>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SCHOOLING</w:t>
            </w:r>
          </w:p>
          <w:p>
            <w:r>
              <w:rPr>
                <w:b/>
                <w:bCs/>
                <w:color w:val="0B7A79"/>
                <w:sz w:val="32"/>
                <w:szCs w:val="32"/>
              </w:rPr>
              <w:t xml:space="preserve">Secondary enrollment 77.9%</w:t>
            </w:r>
          </w:p>
          <w:p>
            <w:r>
              <w:rPr>
                <w:color w:val="64748B"/>
                <w:sz w:val="16"/>
                <w:szCs w:val="16"/>
              </w:rPr>
              <w:t xml:space="preserve">Overtook the World's 77.2%, from 85% of World in 2005 [1]</w:t>
            </w:r>
          </w:p>
        </w:tc>
      </w:tr>
    </w:tbl>
    <w:p>
      <w:pPr>
        <w:keepNext/>
        <w:jc w:val="center"/>
      </w:pPr>
      <w:r>
        <w:drawing>
          <wp:inline distT="0" distB="0" distL="0" distR="0">
            <wp:extent cx="5715000" cy="2219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219325"/>
                    </a:xfrm>
                    <a:prstGeom prst="rect">
                      <a:avLst/>
                    </a:prstGeom>
                  </pic:spPr>
                </pic:pic>
              </a:graphicData>
            </a:graphic>
          </wp:inline>
        </w:drawing>
      </w:r>
    </w:p>
    <w:p>
      <w:r>
        <w:rPr>
          <w:i/>
          <w:iCs/>
          <w:sz w:val="22"/>
          <w:szCs w:val="22"/>
        </w:rPr>
        <w:t xml:space="preserve">South Asia (solid) against the World aggregate (dashed), 2005–2023. Each panel has its own vertical scale, so compare the gap between the two lines within a panel. [1]</w:t>
      </w:r>
    </w:p>
    <w:p>
      <w:pPr>
        <w:spacing w:after="120"/>
      </w:pPr>
      <w:r>
        <w:rPr>
          <w:sz w:val="22"/>
          <w:szCs w:val="22"/>
        </w:rPr>
        <w:t xml:space="preserve">South Asia's income gain is the largest relative gain in the four regions, and it also made large health and schooling gains: life expectancy rose 7.2 years to 72.3, 98.6% of the world level [1]. The gap that remains is income. GDP per capita is only 18.9% of the world's, and in absolute dollars the gap widened, from about $7,700 to $9,500, because the world started from a higher base [1]. Growth also slowed: 5.3% a year from 2005 to 2015 and 4.3% from 2015 to 2023 [1]. Life expectancy fell to 67.8 years in 2021 before recovering to 72.3 [1].</w:t>
      </w:r>
    </w:p>
    <w:p>
      <w:pPr>
        <w:pBdr>
          <w:left w:val="single" w:color="0E9594" w:sz="12" w:space="8"/>
        </w:pBdr>
        <w:spacing w:before="120" w:after="120"/>
        <w:ind w:left="240"/>
      </w:pPr>
      <w:r>
        <w:rPr>
          <w:b/>
          <w:bCs/>
          <w:color w:val="1E293B"/>
          <w:sz w:val="22"/>
          <w:szCs w:val="22"/>
        </w:rPr>
        <w:t xml:space="preserve">Note:</w:t>
      </w:r>
      <w:r>
        <w:rPr>
          <w:color w:val="1E293B"/>
          <w:sz w:val="22"/>
          <w:szCs w:val="22"/>
        </w:rPr>
        <w:t xml:space="preserve"> The UN's Southern Asia region (id 5501) includes Iran; the World Bank's South Asia does not. UN demographic figures for South Asia are therefore slightly older and lower-fertility than the World Bank boundary implies [2].</w:t>
      </w:r>
    </w:p>
    <w:p>
      <w:pPr>
        <w:pStyle w:val="Heading1"/>
      </w:pPr>
      <w:r>
        <w:t xml:space="preserve">East Asia</w:t>
      </w:r>
    </w:p>
    <w:p>
      <w:pPr>
        <w:spacing w:after="120"/>
      </w:pPr>
      <w:r>
        <w:rPr>
          <w:b/>
          <w:bCs/>
          <w:sz w:val="22"/>
          <w:szCs w:val="22"/>
        </w:rPr>
        <w:t xml:space="preserve">Rank 2.</w:t>
      </w:r>
      <w:r>
        <w:rPr>
          <w:sz w:val="22"/>
          <w:szCs w:val="22"/>
        </w:rPr>
        <w:t xml:space="preserve"> East Asia is the only one of the four regions that is already ahead of the world on all three measures, and it started ahead.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BIGGEST GAIN</w:t>
            </w:r>
          </w:p>
          <w:p>
            <w:r>
              <w:rPr>
                <w:b/>
                <w:bCs/>
                <w:color w:val="0B7A79"/>
                <w:sz w:val="32"/>
                <w:szCs w:val="32"/>
              </w:rPr>
              <w:t xml:space="preserve">GDP per capita +107%</w:t>
            </w:r>
          </w:p>
          <w:p>
            <w:r>
              <w:rPr>
                <w:color w:val="64748B"/>
                <w:sz w:val="16"/>
                <w:szCs w:val="16"/>
              </w:rPr>
              <w:t xml:space="preserve">$6,191 → $12,839, the largest dollar gain (6,648), 3.1× World growth [1]</w:t>
            </w:r>
          </w:p>
        </w:tc>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BIGGEST GAP</w:t>
            </w:r>
          </w:p>
          <w:p>
            <w:r>
              <w:rPr>
                <w:b/>
                <w:bCs/>
                <w:color w:val="0B7A79"/>
                <w:sz w:val="32"/>
                <w:szCs w:val="32"/>
              </w:rPr>
              <w:t xml:space="preserve">Life expectancy: 104.5% of World</w:t>
            </w:r>
          </w:p>
          <w:p>
            <w:r>
              <w:rPr>
                <w:color w:val="64748B"/>
                <w:sz w:val="16"/>
                <w:szCs w:val="16"/>
              </w:rPr>
              <w:t xml:space="preserve">Closest to the world on this measure; the lead fell from 106.1% in 2005 [1]</w:t>
            </w:r>
          </w:p>
        </w:tc>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DEMOGRAPHIC STRAIN</w:t>
            </w:r>
          </w:p>
          <w:p>
            <w:r>
              <w:rPr>
                <w:b/>
                <w:bCs/>
                <w:color w:val="0B7A79"/>
                <w:sz w:val="32"/>
                <w:szCs w:val="32"/>
              </w:rPr>
              <w:t xml:space="preserve">Fertility 1.33</w:t>
            </w:r>
          </w:p>
          <w:p>
            <w:r>
              <w:rPr>
                <w:color w:val="64748B"/>
                <w:sz w:val="16"/>
                <w:szCs w:val="16"/>
              </w:rPr>
              <w:t xml:space="preserve">Dependency ratio rose 43.8 → 46.5, the only region where it rose [2][3]</w:t>
            </w:r>
          </w:p>
        </w:tc>
      </w:tr>
    </w:tbl>
    <w:p>
      <w:pPr>
        <w:keepNext/>
        <w:jc w:val="center"/>
      </w:pPr>
      <w:r>
        <w:drawing>
          <wp:inline distT="0" distB="0" distL="0" distR="0">
            <wp:extent cx="5715000" cy="1962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1962150"/>
                    </a:xfrm>
                    <a:prstGeom prst="rect">
                      <a:avLst/>
                    </a:prstGeom>
                  </pic:spPr>
                </pic:pic>
              </a:graphicData>
            </a:graphic>
          </wp:inline>
        </w:drawing>
      </w:r>
    </w:p>
    <w:p>
      <w:r>
        <w:rPr>
          <w:i/>
          <w:iCs/>
          <w:sz w:val="22"/>
          <w:szCs w:val="22"/>
        </w:rPr>
        <w:t xml:space="preserve">East Asia (World Bank East Asia &amp; Pacific) (solid) against the World aggregate (dashed), 2005–2023. Each panel has its own vertical scale, so compare the gap between the two lines within a panel. [1]</w:t>
      </w:r>
    </w:p>
    <w:p>
      <w:pPr>
        <w:spacing w:after="120"/>
      </w:pPr>
      <w:r>
        <w:rPr>
          <w:sz w:val="22"/>
          <w:szCs w:val="22"/>
        </w:rPr>
        <w:t xml:space="preserve">East Asia has no deficit to name against the world, so its "gap" is the measure where its lead is thinnest. That is life expectancy: it gained 3.4 years, below the world's 4.2, so its lead over the world shrank. East Asia's other weak spot is demographic: low fertility and an ageing population [2]. Its income growth slowed after 2015 (4.6% a year before, 3.5% since) but stayed double the world's pace [1]. The "East Asia &amp; Pacific" aggregate includes high-income economies such as Japan, Korea and Australia. Its low- and middle-income subset (EAP) shows an even bigger income jump, +212%, and a life-expectancy gain of 3.5 years [4].</w:t>
      </w:r>
    </w:p>
    <w:p>
      <w:pPr>
        <w:pBdr>
          <w:left w:val="single" w:color="0E9594" w:sz="12" w:space="8"/>
        </w:pBdr>
        <w:spacing w:before="120" w:after="120"/>
        <w:ind w:left="240"/>
      </w:pPr>
      <w:r>
        <w:rPr>
          <w:b/>
          <w:bCs/>
          <w:color w:val="1E293B"/>
          <w:sz w:val="22"/>
          <w:szCs w:val="22"/>
        </w:rPr>
        <w:t xml:space="preserve">Warning:</w:t>
      </w:r>
      <w:r>
        <w:rPr>
          <w:color w:val="1E293B"/>
          <w:sz w:val="22"/>
          <w:szCs w:val="22"/>
        </w:rPr>
        <w:t xml:space="preserve"> The choice of East Asia boundary matters for the ranking. Using EAP (excluding high income) instead of EAS puts East Asia ahead of South Asia when ranks are averaged, though not on the z-score. The UN demographic series for East Asia covers Eastern and South-Eastern Asia (id 1832), which differs from both World Bank definitions [2].</w:t>
      </w:r>
    </w:p>
    <w:p>
      <w:pPr>
        <w:pStyle w:val="Heading1"/>
      </w:pPr>
      <w:r>
        <w:t xml:space="preserve">Sub-Saharan Africa</w:t>
      </w:r>
    </w:p>
    <w:p>
      <w:pPr>
        <w:spacing w:after="120"/>
      </w:pPr>
      <w:r>
        <w:rPr>
          <w:b/>
          <w:bCs/>
          <w:sz w:val="22"/>
          <w:szCs w:val="22"/>
        </w:rPr>
        <w:t xml:space="preserve">Rank 3.</w:t>
      </w:r>
      <w:r>
        <w:rPr>
          <w:sz w:val="22"/>
          <w:szCs w:val="22"/>
        </w:rPr>
        <w:t xml:space="preserve"> Sub-Saharan Africa made the biggest health gain of any region but the smallest income gain, and it started furthest behind on all three measures.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BIGGEST GAIN</w:t>
            </w:r>
          </w:p>
          <w:p>
            <w:r>
              <w:rPr>
                <w:b/>
                <w:bCs/>
                <w:color w:val="0B7A79"/>
                <w:sz w:val="32"/>
                <w:szCs w:val="32"/>
              </w:rPr>
              <w:t xml:space="preserve">Life expectancy +8.7 years</w:t>
            </w:r>
          </w:p>
          <w:p>
            <w:r>
              <w:rPr>
                <w:color w:val="64748B"/>
                <w:sz w:val="16"/>
                <w:szCs w:val="16"/>
              </w:rPr>
              <w:t xml:space="preserve">53.9 → 62.6, 2.1× the World's gain of 4.2 years [1]</w:t>
            </w:r>
          </w:p>
        </w:tc>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BIGGEST GAP</w:t>
            </w:r>
          </w:p>
          <w:p>
            <w:r>
              <w:rPr>
                <w:b/>
                <w:bCs/>
                <w:color w:val="0B7A79"/>
                <w:sz w:val="32"/>
                <w:szCs w:val="32"/>
              </w:rPr>
              <w:t xml:space="preserve">GDP per capita: 13.5% of World</w:t>
            </w:r>
          </w:p>
          <w:p>
            <w:r>
              <w:rPr>
                <w:color w:val="64748B"/>
                <w:sz w:val="16"/>
                <w:szCs w:val="16"/>
              </w:rPr>
              <w:t xml:space="preserve">$1,571 against $11,671; down from 15.8% in 2005, so the gap widened [1]</w:t>
            </w:r>
          </w:p>
        </w:tc>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POPULATION</w:t>
            </w:r>
          </w:p>
          <w:p>
            <w:r>
              <w:rPr>
                <w:b/>
                <w:bCs/>
                <w:color w:val="0B7A79"/>
                <w:sz w:val="32"/>
                <w:szCs w:val="32"/>
              </w:rPr>
              <w:t xml:space="preserve">+462 million</w:t>
            </w:r>
          </w:p>
          <w:p>
            <w:r>
              <w:rPr>
                <w:color w:val="64748B"/>
                <w:sz w:val="16"/>
                <w:szCs w:val="16"/>
              </w:rPr>
              <w:t xml:space="preserve">+62% since 2005; fertility still 4.32 births per woman [2]</w:t>
            </w:r>
          </w:p>
        </w:tc>
      </w:tr>
    </w:tbl>
    <w:p>
      <w:pPr>
        <w:keepNext/>
        <w:jc w:val="center"/>
      </w:pPr>
      <w:r>
        <w:drawing>
          <wp:inline distT="0" distB="0" distL="0" distR="0">
            <wp:extent cx="5715000"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085975"/>
                    </a:xfrm>
                    <a:prstGeom prst="rect">
                      <a:avLst/>
                    </a:prstGeom>
                  </pic:spPr>
                </pic:pic>
              </a:graphicData>
            </a:graphic>
          </wp:inline>
        </w:drawing>
      </w:r>
    </w:p>
    <w:p>
      <w:r>
        <w:rPr>
          <w:i/>
          <w:iCs/>
          <w:sz w:val="22"/>
          <w:szCs w:val="22"/>
        </w:rPr>
        <w:t xml:space="preserve">Sub-Saharan Africa (solid) against the World aggregate (dashed), 2005–2023. Each panel has its own vertical scale, so compare the gap between the two lines within a panel. [1]</w:t>
      </w:r>
    </w:p>
    <w:p>
      <w:pPr>
        <w:spacing w:after="120"/>
      </w:pPr>
      <w:r>
        <w:rPr>
          <w:sz w:val="22"/>
          <w:szCs w:val="22"/>
        </w:rPr>
        <w:t xml:space="preserve">Life expectancy rose from 78% to 85% of the world level, the fastest convergence in any region [1]. Secondary enrollment also rose 14.4 points, a little faster than the world's gain, but only to 45.7%, which is 59% of the world value [1]. Income is the problem. GDP per capita grew only 15% in 18 years, from $1,367 to $1,571 (0.8% a year), and fell between 2019 and 2023 [1]. Population grew 62% over the same period, so total output has had to grow much faster than output per head just to keep income per person rising [2]. In PPP terms the picture is similar: +18% against +45% for the world [1].</w:t>
      </w:r>
    </w:p>
    <w:p>
      <w:pPr>
        <w:pBdr>
          <w:left w:val="single" w:color="0E9594" w:sz="12" w:space="8"/>
        </w:pBdr>
        <w:spacing w:before="120" w:after="120"/>
        <w:ind w:left="240"/>
      </w:pPr>
      <w:r>
        <w:rPr>
          <w:b/>
          <w:bCs/>
          <w:color w:val="1E293B"/>
          <w:sz w:val="22"/>
          <w:szCs w:val="22"/>
        </w:rPr>
        <w:t xml:space="preserve">Note:</w:t>
      </w:r>
      <w:r>
        <w:rPr>
          <w:color w:val="1E293B"/>
          <w:sz w:val="22"/>
          <w:szCs w:val="22"/>
        </w:rPr>
        <w:t xml:space="preserve"> The teammate run described the World Bank SSF aggregate as excluding high-income economies. World Bank metadata names SSF as "Sub-Saharan Africa" with no income exclusion, so it is comparable to the UN region 947 [5].</w:t>
      </w:r>
    </w:p>
    <w:p>
      <w:pPr>
        <w:pStyle w:val="Heading1"/>
      </w:pPr>
      <w:r>
        <w:t xml:space="preserve">Latin America</w:t>
      </w:r>
    </w:p>
    <w:p>
      <w:pPr>
        <w:spacing w:after="120"/>
      </w:pPr>
      <w:r>
        <w:rPr>
          <w:b/>
          <w:bCs/>
          <w:sz w:val="22"/>
          <w:szCs w:val="22"/>
        </w:rPr>
        <w:t xml:space="preserve">Rank 4.</w:t>
      </w:r>
      <w:r>
        <w:rPr>
          <w:sz w:val="22"/>
          <w:szCs w:val="22"/>
        </w:rPr>
        <w:t xml:space="preserve"> Latin America started highest of the four developing regions and moved least on all three measures, so it has lost ground against the world.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BIGGEST GAIN (RELATIVE)</w:t>
            </w:r>
          </w:p>
          <w:p>
            <w:r>
              <w:rPr>
                <w:b/>
                <w:bCs/>
                <w:color w:val="0B7A79"/>
                <w:sz w:val="32"/>
                <w:szCs w:val="32"/>
              </w:rPr>
              <w:t xml:space="preserve">Secondary enrollment +10.9 pts</w:t>
            </w:r>
          </w:p>
          <w:p>
            <w:r>
              <w:rPr>
                <w:color w:val="64748B"/>
                <w:sz w:val="16"/>
                <w:szCs w:val="16"/>
              </w:rPr>
              <w:t xml:space="preserve">86.6% → 97.5%, but only 0.85× the World's gain of 12.8 pts; no measure outpaced the world [1]</w:t>
            </w:r>
          </w:p>
        </w:tc>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BIGGEST GAP</w:t>
            </w:r>
          </w:p>
          <w:p>
            <w:r>
              <w:rPr>
                <w:b/>
                <w:bCs/>
                <w:color w:val="0B7A79"/>
                <w:sz w:val="32"/>
                <w:szCs w:val="32"/>
              </w:rPr>
              <w:t xml:space="preserve">GDP per capita: 74.9% of World</w:t>
            </w:r>
          </w:p>
          <w:p>
            <w:r>
              <w:rPr>
                <w:color w:val="64748B"/>
                <w:sz w:val="16"/>
                <w:szCs w:val="16"/>
              </w:rPr>
              <w:t xml:space="preserve">Down from 82.9% in 2005, so the gap widened [1]</w:t>
            </w:r>
          </w:p>
        </w:tc>
        <w:tc>
          <w:tcPr>
            <w:tcW w:type="pct" w:w="33.333333333333336%"/>
            <w:tcBorders>
              <w:top w:val="single" w:color="0E9594" w:sz="12"/>
              <w:left w:val="single" w:color="E2E8F0" w:sz="2"/>
              <w:bottom w:val="single" w:color="E2E8F0" w:sz="2"/>
              <w:right w:val="single" w:color="E2E8F0" w:sz="2"/>
            </w:tcBorders>
            <w:shd w:fill="F8FAFC"/>
            <w:tcMar>
              <w:top w:type="dxa" w:w="120"/>
              <w:left w:type="dxa" w:w="120"/>
              <w:bottom w:type="dxa" w:w="120"/>
              <w:right w:type="dxa" w:w="120"/>
            </w:tcMar>
          </w:tcPr>
          <w:p>
            <w:r>
              <w:rPr>
                <w:b/>
                <w:bCs/>
                <w:color w:val="64748B"/>
                <w:sz w:val="14"/>
                <w:szCs w:val="14"/>
              </w:rPr>
              <w:t xml:space="preserve">INCOME GROWTH</w:t>
            </w:r>
          </w:p>
          <w:p>
            <w:r>
              <w:rPr>
                <w:b/>
                <w:bCs/>
                <w:color w:val="0B7A79"/>
                <w:sz w:val="32"/>
                <w:szCs w:val="32"/>
              </w:rPr>
              <w:t xml:space="preserve">+22%</w:t>
            </w:r>
          </w:p>
          <w:p>
            <w:r>
              <w:rPr>
                <w:color w:val="64748B"/>
                <w:sz w:val="16"/>
                <w:szCs w:val="16"/>
              </w:rPr>
              <w:t xml:space="preserve">1.1% a year against the World's 1.7%; 0.3% a year since 2015 [1]</w:t>
            </w:r>
          </w:p>
        </w:tc>
      </w:tr>
    </w:tbl>
    <w:p>
      <w:pPr>
        <w:keepNext/>
        <w:jc w:val="center"/>
      </w:pPr>
      <w:r>
        <w:drawing>
          <wp:inline distT="0" distB="0" distL="0" distR="0">
            <wp:extent cx="571500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143125"/>
                    </a:xfrm>
                    <a:prstGeom prst="rect">
                      <a:avLst/>
                    </a:prstGeom>
                  </pic:spPr>
                </pic:pic>
              </a:graphicData>
            </a:graphic>
          </wp:inline>
        </w:drawing>
      </w:r>
    </w:p>
    <w:p>
      <w:r>
        <w:rPr>
          <w:i/>
          <w:iCs/>
          <w:sz w:val="22"/>
          <w:szCs w:val="22"/>
        </w:rPr>
        <w:t xml:space="preserve">Latin America and the Caribbean (solid) against the World aggregate (dashed), 2005–2023. Each panel has its own vertical scale, so compare the gap between the two lines within a panel. [1]</w:t>
      </w:r>
    </w:p>
    <w:p>
      <w:pPr>
        <w:spacing w:after="120"/>
      </w:pPr>
      <w:r>
        <w:rPr>
          <w:sz w:val="22"/>
          <w:szCs w:val="22"/>
        </w:rPr>
        <w:t xml:space="preserve">Latin America is still ahead of the world on life expectancy (75.6 years, 103% of the world) and secondary enrollment (97.5%, 126%), but its lead on each measure is narrower than in 2005 [1]. Income is the weak point. GDP per capita has crawled up since 2015, at 0.3% a year, against 1.7% for the world [1]. Life expectancy fell to 71.8 years in 2021 and recovered to 75.6 in 2023 [1]. The earlier team summary called GDP the region's biggest gain because the dollar change was large, but the region grew by less than the world on GDP, so no measure is a gain in relative terms. Secondary enrollment is the best of the three.</w:t>
      </w:r>
    </w:p>
    <w:p>
      <w:pPr>
        <w:pStyle w:val="Heading1"/>
      </w:pPr>
      <w:r>
        <w:t xml:space="preserve">Method and robustness</w:t>
      </w:r>
    </w:p>
    <w:p>
      <w:pPr>
        <w:pStyle w:val="Heading2"/>
      </w:pPr>
      <w:r>
        <w:t xml:space="preserve">Method</w:t>
      </w:r>
    </w:p>
    <w:p>
      <w:pPr>
        <w:spacing w:after="120"/>
      </w:pPr>
      <w:r>
        <w:rPr>
          <w:sz w:val="22"/>
          <w:szCs w:val="22"/>
        </w:rPr>
        <w:t xml:space="preserve">Each region is a World Bank aggregate (South Asia SAS; East Asia &amp; Pacific EAS; Sub-Saharan Africa SSF; Latin America &amp; Caribbean LCN), compared with the World aggregate WLD [1][5]. Each indicator is measured from 2005 to 2023: GDP per capita (constant 2015 US$) as percentage growth, life expectancy as years gained, and gross secondary enrollment as percentage points gained. The three gains are standardised across the four regions and averaged with equal weights. UN World Population Prospects 2024 supplies population, fertility, median age and dependency ratio [2][3].</w:t>
      </w:r>
    </w:p>
    <w:p>
      <w:pPr>
        <w:spacing w:after="120"/>
      </w:pPr>
      <w:r>
        <w:rPr>
          <w:sz w:val="22"/>
          <w:szCs w:val="22"/>
        </w:rPr>
        <w:t xml:space="preserve">The regional analyses were produced by two teammates working in parallel on separate regions, and they were reconciled here. This step re-ran every figure from the combined dataset and re-fetched the dependency ratio, which two files had polluted with multiple age definitions. The East Asia &amp; Pacific (excluding high income) series was fetched separately [4]. Teammates defined "biggest gain" differently (relative to world pace, or in dollars). This report uses one rule for all four regions: the gain measured against the world's gain on the same measure.</w:t>
      </w:r>
    </w:p>
    <w:p>
      <w:pPr>
        <w:pStyle w:val="Heading2"/>
      </w:pPr>
      <w:r>
        <w:t xml:space="preserve">Ranking robustness</w:t>
      </w:r>
    </w:p>
    <w:p>
      <w:pPr>
        <w:keepNext/>
      </w:pPr>
      <w:r>
        <w:rPr>
          <w:i/>
          <w:iCs/>
          <w:sz w:val="22"/>
          <w:szCs w:val="22"/>
        </w:rPr>
        <w:t xml:space="preserve">Rank (1 = most progress) under alternative scoring choices. Rows that differ from the baseline are the East Asia = EAP rank average, the two drop-one variants that omit GDP or secondary enrollment, and absolute GDP gain. [1][4]</w:t>
      </w:r>
    </w:p>
    <w:tbl>
      <w:tblPr>
        <w:tblW w:type="pct" w:w="100%"/>
        <w:tblBorders>
          <w:top w:val="none" w:color="auto" w:sz="0"/>
          <w:left w:val="none" w:color="auto" w:sz="0"/>
          <w:bottom w:val="single" w:color="E2E8F0" w:sz="2"/>
          <w:right w:val="none" w:color="auto" w:sz="0"/>
          <w:insideH w:val="single" w:color="E2E8F0" w:sz="2"/>
          <w:insideV w:val="none" w:color="auto" w:sz="0"/>
        </w:tblBorders>
      </w:tblPr>
      <w:tblGrid>
        <w:gridCol w:w="100"/>
        <w:gridCol w:w="100"/>
        <w:gridCol w:w="100"/>
        <w:gridCol w:w="100"/>
        <w:gridCol w:w="100"/>
      </w:tblGrid>
      <w:tr>
        <w:trPr>
          <w:tblHeader/>
        </w:trPr>
        <w:tc>
          <w:tcPr>
            <w:tcW w:type="pct" w:w="37.5%"/>
            <w:shd w:fill="0E9594"/>
          </w:tcPr>
          <w:p>
            <w:pPr>
              <w:jc w:val="left"/>
            </w:pPr>
            <w:r>
              <w:rPr>
                <w:b/>
                <w:bCs/>
                <w:color w:val="FFFFFF"/>
                <w:sz w:val="20"/>
                <w:szCs w:val="20"/>
              </w:rPr>
              <w:t xml:space="preserve">Variant</w:t>
            </w:r>
          </w:p>
        </w:tc>
        <w:tc>
          <w:tcPr>
            <w:tcW w:type="pct" w:w="12.5%"/>
            <w:shd w:fill="0E9594"/>
          </w:tcPr>
          <w:p>
            <w:pPr>
              <w:jc w:val="right"/>
            </w:pPr>
            <w:r>
              <w:rPr>
                <w:b/>
                <w:bCs/>
                <w:color w:val="FFFFFF"/>
                <w:sz w:val="20"/>
                <w:szCs w:val="20"/>
              </w:rPr>
              <w:t xml:space="preserve">South Asia</w:t>
            </w:r>
          </w:p>
        </w:tc>
        <w:tc>
          <w:tcPr>
            <w:tcW w:type="pct" w:w="11.25%"/>
            <w:shd w:fill="0E9594"/>
          </w:tcPr>
          <w:p>
            <w:pPr>
              <w:jc w:val="right"/>
            </w:pPr>
            <w:r>
              <w:rPr>
                <w:b/>
                <w:bCs/>
                <w:color w:val="FFFFFF"/>
                <w:sz w:val="20"/>
                <w:szCs w:val="20"/>
              </w:rPr>
              <w:t xml:space="preserve">East Asia</w:t>
            </w:r>
          </w:p>
        </w:tc>
        <w:tc>
          <w:tcPr>
            <w:tcW w:type="pct" w:w="22.5%"/>
            <w:shd w:fill="0E9594"/>
          </w:tcPr>
          <w:p>
            <w:pPr>
              <w:jc w:val="right"/>
            </w:pPr>
            <w:r>
              <w:rPr>
                <w:b/>
                <w:bCs/>
                <w:color w:val="FFFFFF"/>
                <w:sz w:val="20"/>
                <w:szCs w:val="20"/>
              </w:rPr>
              <w:t xml:space="preserve">Sub-Saharan Africa</w:t>
            </w:r>
          </w:p>
        </w:tc>
        <w:tc>
          <w:tcPr>
            <w:tcW w:type="pct" w:w="16.25%"/>
            <w:shd w:fill="0E9594"/>
          </w:tcPr>
          <w:p>
            <w:pPr>
              <w:jc w:val="right"/>
            </w:pPr>
            <w:r>
              <w:rPr>
                <w:b/>
                <w:bCs/>
                <w:color w:val="FFFFFF"/>
                <w:sz w:val="20"/>
                <w:szCs w:val="20"/>
              </w:rPr>
              <w:t xml:space="preserve">Latin America</w:t>
            </w:r>
          </w:p>
        </w:tc>
      </w:tr>
      <w:tr>
        <w:tc>
          <w:tcPr>
            <w:tcW w:type="pct" w:w="37.5%"/>
          </w:tcPr>
          <w:p>
            <w:pPr>
              <w:jc w:val="left"/>
            </w:pPr>
            <w:r>
              <w:rPr>
                <w:sz w:val="20"/>
                <w:szCs w:val="20"/>
              </w:rPr>
              <w:t xml:space="preserve">Baseline: mean z-score of three gains</w:t>
            </w:r>
          </w:p>
        </w:tc>
        <w:tc>
          <w:tcPr>
            <w:tcW w:type="pct" w:w="12.5%"/>
          </w:tcPr>
          <w:p>
            <w:pPr>
              <w:jc w:val="right"/>
            </w:pPr>
            <w:r>
              <w:rPr>
                <w:sz w:val="20"/>
                <w:szCs w:val="20"/>
              </w:rPr>
              <w:t xml:space="preserve">1</w:t>
            </w:r>
          </w:p>
        </w:tc>
        <w:tc>
          <w:tcPr>
            <w:tcW w:type="pct" w:w="11.25%"/>
          </w:tcPr>
          <w:p>
            <w:pPr>
              <w:jc w:val="right"/>
            </w:pPr>
            <w:r>
              <w:rPr>
                <w:sz w:val="20"/>
                <w:szCs w:val="20"/>
              </w:rPr>
              <w:t xml:space="preserve">2</w:t>
            </w:r>
          </w:p>
        </w:tc>
        <w:tc>
          <w:tcPr>
            <w:tcW w:type="pct" w:w="22.5%"/>
          </w:tcPr>
          <w:p>
            <w:pPr>
              <w:jc w:val="right"/>
            </w:pPr>
            <w:r>
              <w:rPr>
                <w:sz w:val="20"/>
                <w:szCs w:val="20"/>
              </w:rPr>
              <w:t xml:space="preserve">3</w:t>
            </w:r>
          </w:p>
        </w:tc>
        <w:tc>
          <w:tcPr>
            <w:tcW w:type="pct" w:w="16.25%"/>
          </w:tcPr>
          <w:p>
            <w:pPr>
              <w:jc w:val="right"/>
            </w:pPr>
            <w:r>
              <w:rPr>
                <w:sz w:val="20"/>
                <w:szCs w:val="20"/>
              </w:rPr>
              <w:t xml:space="preserve">4</w:t>
            </w:r>
          </w:p>
        </w:tc>
      </w:tr>
      <w:tr>
        <w:tc>
          <w:tcPr>
            <w:tcW w:type="pct" w:w="37.5%"/>
            <w:shd w:fill="F8FAFC"/>
          </w:tcPr>
          <w:p>
            <w:pPr>
              <w:jc w:val="left"/>
            </w:pPr>
            <w:r>
              <w:rPr>
                <w:sz w:val="20"/>
                <w:szCs w:val="20"/>
              </w:rPr>
              <w:t xml:space="preserve">Mean of three indicator ranks</w:t>
            </w:r>
          </w:p>
        </w:tc>
        <w:tc>
          <w:tcPr>
            <w:tcW w:type="pct" w:w="12.5%"/>
            <w:shd w:fill="F8FAFC"/>
          </w:tcPr>
          <w:p>
            <w:pPr>
              <w:jc w:val="right"/>
            </w:pPr>
            <w:r>
              <w:rPr>
                <w:sz w:val="20"/>
                <w:szCs w:val="20"/>
              </w:rPr>
              <w:t xml:space="preserve">1</w:t>
            </w:r>
          </w:p>
        </w:tc>
        <w:tc>
          <w:tcPr>
            <w:tcW w:type="pct" w:w="11.25%"/>
            <w:shd w:fill="F8FAFC"/>
          </w:tcPr>
          <w:p>
            <w:pPr>
              <w:jc w:val="right"/>
            </w:pPr>
            <w:r>
              <w:rPr>
                <w:sz w:val="20"/>
                <w:szCs w:val="20"/>
              </w:rPr>
              <w:t xml:space="preserve">2</w:t>
            </w:r>
          </w:p>
        </w:tc>
        <w:tc>
          <w:tcPr>
            <w:tcW w:type="pct" w:w="22.5%"/>
            <w:shd w:fill="F8FAFC"/>
          </w:tcPr>
          <w:p>
            <w:pPr>
              <w:jc w:val="right"/>
            </w:pPr>
            <w:r>
              <w:rPr>
                <w:sz w:val="20"/>
                <w:szCs w:val="20"/>
              </w:rPr>
              <w:t xml:space="preserve">3</w:t>
            </w:r>
          </w:p>
        </w:tc>
        <w:tc>
          <w:tcPr>
            <w:tcW w:type="pct" w:w="16.25%"/>
            <w:shd w:fill="F8FAFC"/>
          </w:tcPr>
          <w:p>
            <w:pPr>
              <w:jc w:val="right"/>
            </w:pPr>
            <w:r>
              <w:rPr>
                <w:sz w:val="20"/>
                <w:szCs w:val="20"/>
              </w:rPr>
              <w:t xml:space="preserve">4</w:t>
            </w:r>
          </w:p>
        </w:tc>
      </w:tr>
      <w:tr>
        <w:tc>
          <w:tcPr>
            <w:tcW w:type="pct" w:w="37.5%"/>
          </w:tcPr>
          <w:p>
            <w:pPr>
              <w:jc w:val="left"/>
            </w:pPr>
            <w:r>
              <w:rPr>
                <w:sz w:val="20"/>
                <w:szCs w:val="20"/>
              </w:rPr>
              <w:t xml:space="preserve">GDP in PPP terms instead of constant US$</w:t>
            </w:r>
          </w:p>
        </w:tc>
        <w:tc>
          <w:tcPr>
            <w:tcW w:type="pct" w:w="12.5%"/>
          </w:tcPr>
          <w:p>
            <w:pPr>
              <w:jc w:val="right"/>
            </w:pPr>
            <w:r>
              <w:rPr>
                <w:sz w:val="20"/>
                <w:szCs w:val="20"/>
              </w:rPr>
              <w:t xml:space="preserve">1</w:t>
            </w:r>
          </w:p>
        </w:tc>
        <w:tc>
          <w:tcPr>
            <w:tcW w:type="pct" w:w="11.25%"/>
          </w:tcPr>
          <w:p>
            <w:pPr>
              <w:jc w:val="right"/>
            </w:pPr>
            <w:r>
              <w:rPr>
                <w:sz w:val="20"/>
                <w:szCs w:val="20"/>
              </w:rPr>
              <w:t xml:space="preserve">2</w:t>
            </w:r>
          </w:p>
        </w:tc>
        <w:tc>
          <w:tcPr>
            <w:tcW w:type="pct" w:w="22.5%"/>
          </w:tcPr>
          <w:p>
            <w:pPr>
              <w:jc w:val="right"/>
            </w:pPr>
            <w:r>
              <w:rPr>
                <w:sz w:val="20"/>
                <w:szCs w:val="20"/>
              </w:rPr>
              <w:t xml:space="preserve">3</w:t>
            </w:r>
          </w:p>
        </w:tc>
        <w:tc>
          <w:tcPr>
            <w:tcW w:type="pct" w:w="16.25%"/>
          </w:tcPr>
          <w:p>
            <w:pPr>
              <w:jc w:val="right"/>
            </w:pPr>
            <w:r>
              <w:rPr>
                <w:sz w:val="20"/>
                <w:szCs w:val="20"/>
              </w:rPr>
              <w:t xml:space="preserve">4</w:t>
            </w:r>
          </w:p>
        </w:tc>
      </w:tr>
      <w:tr>
        <w:tc>
          <w:tcPr>
            <w:tcW w:type="pct" w:w="37.5%"/>
            <w:shd w:fill="F8FAFC"/>
          </w:tcPr>
          <w:p>
            <w:pPr>
              <w:jc w:val="left"/>
            </w:pPr>
            <w:r>
              <w:rPr>
                <w:sz w:val="20"/>
                <w:szCs w:val="20"/>
              </w:rPr>
              <w:t xml:space="preserve">East Asia = EAP (excluding high income)</w:t>
            </w:r>
          </w:p>
        </w:tc>
        <w:tc>
          <w:tcPr>
            <w:tcW w:type="pct" w:w="12.5%"/>
            <w:shd w:fill="F8FAFC"/>
          </w:tcPr>
          <w:p>
            <w:pPr>
              <w:jc w:val="right"/>
            </w:pPr>
            <w:r>
              <w:rPr>
                <w:sz w:val="20"/>
                <w:szCs w:val="20"/>
              </w:rPr>
              <w:t xml:space="preserve">1</w:t>
            </w:r>
          </w:p>
        </w:tc>
        <w:tc>
          <w:tcPr>
            <w:tcW w:type="pct" w:w="11.25%"/>
            <w:shd w:fill="F8FAFC"/>
          </w:tcPr>
          <w:p>
            <w:pPr>
              <w:jc w:val="right"/>
            </w:pPr>
            <w:r>
              <w:rPr>
                <w:sz w:val="20"/>
                <w:szCs w:val="20"/>
              </w:rPr>
              <w:t xml:space="preserve">2</w:t>
            </w:r>
          </w:p>
        </w:tc>
        <w:tc>
          <w:tcPr>
            <w:tcW w:type="pct" w:w="22.5%"/>
            <w:shd w:fill="F8FAFC"/>
          </w:tcPr>
          <w:p>
            <w:pPr>
              <w:jc w:val="right"/>
            </w:pPr>
            <w:r>
              <w:rPr>
                <w:sz w:val="20"/>
                <w:szCs w:val="20"/>
              </w:rPr>
              <w:t xml:space="preserve">3</w:t>
            </w:r>
          </w:p>
        </w:tc>
        <w:tc>
          <w:tcPr>
            <w:tcW w:type="pct" w:w="16.25%"/>
            <w:shd w:fill="F8FAFC"/>
          </w:tcPr>
          <w:p>
            <w:pPr>
              <w:jc w:val="right"/>
            </w:pPr>
            <w:r>
              <w:rPr>
                <w:sz w:val="20"/>
                <w:szCs w:val="20"/>
              </w:rPr>
              <w:t xml:space="preserve">4</w:t>
            </w:r>
          </w:p>
        </w:tc>
      </w:tr>
      <w:tr>
        <w:tc>
          <w:tcPr>
            <w:tcW w:type="pct" w:w="37.5%"/>
          </w:tcPr>
          <w:p>
            <w:pPr>
              <w:jc w:val="left"/>
            </w:pPr>
            <w:r>
              <w:rPr>
                <w:sz w:val="20"/>
                <w:szCs w:val="20"/>
              </w:rPr>
              <w:t xml:space="preserve">East Asia = EAP, mean of ranks</w:t>
            </w:r>
          </w:p>
        </w:tc>
        <w:tc>
          <w:tcPr>
            <w:tcW w:type="pct" w:w="12.5%"/>
          </w:tcPr>
          <w:p>
            <w:pPr>
              <w:jc w:val="right"/>
            </w:pPr>
            <w:r>
              <w:rPr>
                <w:sz w:val="20"/>
                <w:szCs w:val="20"/>
              </w:rPr>
              <w:t xml:space="preserve">2</w:t>
            </w:r>
          </w:p>
        </w:tc>
        <w:tc>
          <w:tcPr>
            <w:tcW w:type="pct" w:w="11.25%"/>
          </w:tcPr>
          <w:p>
            <w:pPr>
              <w:jc w:val="right"/>
            </w:pPr>
            <w:r>
              <w:rPr>
                <w:sz w:val="20"/>
                <w:szCs w:val="20"/>
              </w:rPr>
              <w:t xml:space="preserve">1</w:t>
            </w:r>
          </w:p>
        </w:tc>
        <w:tc>
          <w:tcPr>
            <w:tcW w:type="pct" w:w="22.5%"/>
          </w:tcPr>
          <w:p>
            <w:pPr>
              <w:jc w:val="right"/>
            </w:pPr>
            <w:r>
              <w:rPr>
                <w:sz w:val="20"/>
                <w:szCs w:val="20"/>
              </w:rPr>
              <w:t xml:space="preserve">3</w:t>
            </w:r>
          </w:p>
        </w:tc>
        <w:tc>
          <w:tcPr>
            <w:tcW w:type="pct" w:w="16.25%"/>
          </w:tcPr>
          <w:p>
            <w:pPr>
              <w:jc w:val="right"/>
            </w:pPr>
            <w:r>
              <w:rPr>
                <w:sz w:val="20"/>
                <w:szCs w:val="20"/>
              </w:rPr>
              <w:t xml:space="preserve">4</w:t>
            </w:r>
          </w:p>
        </w:tc>
      </w:tr>
      <w:tr>
        <w:tc>
          <w:tcPr>
            <w:tcW w:type="pct" w:w="37.5%"/>
            <w:shd w:fill="F8FAFC"/>
          </w:tcPr>
          <w:p>
            <w:pPr>
              <w:jc w:val="left"/>
            </w:pPr>
            <w:r>
              <w:rPr>
                <w:sz w:val="20"/>
                <w:szCs w:val="20"/>
              </w:rPr>
              <w:t xml:space="preserve">Without GDP per capita</w:t>
            </w:r>
          </w:p>
        </w:tc>
        <w:tc>
          <w:tcPr>
            <w:tcW w:type="pct" w:w="12.5%"/>
            <w:shd w:fill="F8FAFC"/>
          </w:tcPr>
          <w:p>
            <w:pPr>
              <w:jc w:val="right"/>
            </w:pPr>
            <w:r>
              <w:rPr>
                <w:sz w:val="20"/>
                <w:szCs w:val="20"/>
              </w:rPr>
              <w:t xml:space="preserve">1</w:t>
            </w:r>
          </w:p>
        </w:tc>
        <w:tc>
          <w:tcPr>
            <w:tcW w:type="pct" w:w="11.25%"/>
            <w:shd w:fill="F8FAFC"/>
          </w:tcPr>
          <w:p>
            <w:pPr>
              <w:jc w:val="right"/>
            </w:pPr>
            <w:r>
              <w:rPr>
                <w:sz w:val="20"/>
                <w:szCs w:val="20"/>
              </w:rPr>
              <w:t xml:space="preserve">3</w:t>
            </w:r>
          </w:p>
        </w:tc>
        <w:tc>
          <w:tcPr>
            <w:tcW w:type="pct" w:w="22.5%"/>
            <w:shd w:fill="F8FAFC"/>
          </w:tcPr>
          <w:p>
            <w:pPr>
              <w:jc w:val="right"/>
            </w:pPr>
            <w:r>
              <w:rPr>
                <w:sz w:val="20"/>
                <w:szCs w:val="20"/>
              </w:rPr>
              <w:t xml:space="preserve">2</w:t>
            </w:r>
          </w:p>
        </w:tc>
        <w:tc>
          <w:tcPr>
            <w:tcW w:type="pct" w:w="16.25%"/>
            <w:shd w:fill="F8FAFC"/>
          </w:tcPr>
          <w:p>
            <w:pPr>
              <w:jc w:val="right"/>
            </w:pPr>
            <w:r>
              <w:rPr>
                <w:sz w:val="20"/>
                <w:szCs w:val="20"/>
              </w:rPr>
              <w:t xml:space="preserve">4</w:t>
            </w:r>
          </w:p>
        </w:tc>
      </w:tr>
      <w:tr>
        <w:tc>
          <w:tcPr>
            <w:tcW w:type="pct" w:w="37.5%"/>
          </w:tcPr>
          <w:p>
            <w:pPr>
              <w:jc w:val="left"/>
            </w:pPr>
            <w:r>
              <w:rPr>
                <w:sz w:val="20"/>
                <w:szCs w:val="20"/>
              </w:rPr>
              <w:t xml:space="preserve">Without life expectancy</w:t>
            </w:r>
          </w:p>
        </w:tc>
        <w:tc>
          <w:tcPr>
            <w:tcW w:type="pct" w:w="12.5%"/>
          </w:tcPr>
          <w:p>
            <w:pPr>
              <w:jc w:val="right"/>
            </w:pPr>
            <w:r>
              <w:rPr>
                <w:sz w:val="20"/>
                <w:szCs w:val="20"/>
              </w:rPr>
              <w:t xml:space="preserve">1</w:t>
            </w:r>
          </w:p>
        </w:tc>
        <w:tc>
          <w:tcPr>
            <w:tcW w:type="pct" w:w="11.25%"/>
          </w:tcPr>
          <w:p>
            <w:pPr>
              <w:jc w:val="right"/>
            </w:pPr>
            <w:r>
              <w:rPr>
                <w:sz w:val="20"/>
                <w:szCs w:val="20"/>
              </w:rPr>
              <w:t xml:space="preserve">2</w:t>
            </w:r>
          </w:p>
        </w:tc>
        <w:tc>
          <w:tcPr>
            <w:tcW w:type="pct" w:w="22.5%"/>
          </w:tcPr>
          <w:p>
            <w:pPr>
              <w:jc w:val="right"/>
            </w:pPr>
            <w:r>
              <w:rPr>
                <w:sz w:val="20"/>
                <w:szCs w:val="20"/>
              </w:rPr>
              <w:t xml:space="preserve">3</w:t>
            </w:r>
          </w:p>
        </w:tc>
        <w:tc>
          <w:tcPr>
            <w:tcW w:type="pct" w:w="16.25%"/>
          </w:tcPr>
          <w:p>
            <w:pPr>
              <w:jc w:val="right"/>
            </w:pPr>
            <w:r>
              <w:rPr>
                <w:sz w:val="20"/>
                <w:szCs w:val="20"/>
              </w:rPr>
              <w:t xml:space="preserve">4</w:t>
            </w:r>
          </w:p>
        </w:tc>
      </w:tr>
      <w:tr>
        <w:tc>
          <w:tcPr>
            <w:tcW w:type="pct" w:w="37.5%"/>
            <w:shd w:fill="F8FAFC"/>
          </w:tcPr>
          <w:p>
            <w:pPr>
              <w:jc w:val="left"/>
            </w:pPr>
            <w:r>
              <w:rPr>
                <w:sz w:val="20"/>
                <w:szCs w:val="20"/>
              </w:rPr>
              <w:t xml:space="preserve">Without secondary enrollment</w:t>
            </w:r>
          </w:p>
        </w:tc>
        <w:tc>
          <w:tcPr>
            <w:tcW w:type="pct" w:w="12.5%"/>
            <w:shd w:fill="F8FAFC"/>
          </w:tcPr>
          <w:p>
            <w:pPr>
              <w:jc w:val="right"/>
            </w:pPr>
            <w:r>
              <w:rPr>
                <w:sz w:val="20"/>
                <w:szCs w:val="20"/>
              </w:rPr>
              <w:t xml:space="preserve">1</w:t>
            </w:r>
          </w:p>
        </w:tc>
        <w:tc>
          <w:tcPr>
            <w:tcW w:type="pct" w:w="11.25%"/>
            <w:shd w:fill="F8FAFC"/>
          </w:tcPr>
          <w:p>
            <w:pPr>
              <w:jc w:val="right"/>
            </w:pPr>
            <w:r>
              <w:rPr>
                <w:sz w:val="20"/>
                <w:szCs w:val="20"/>
              </w:rPr>
              <w:t xml:space="preserve">3</w:t>
            </w:r>
          </w:p>
        </w:tc>
        <w:tc>
          <w:tcPr>
            <w:tcW w:type="pct" w:w="22.5%"/>
            <w:shd w:fill="F8FAFC"/>
          </w:tcPr>
          <w:p>
            <w:pPr>
              <w:jc w:val="right"/>
            </w:pPr>
            <w:r>
              <w:rPr>
                <w:sz w:val="20"/>
                <w:szCs w:val="20"/>
              </w:rPr>
              <w:t xml:space="preserve">2</w:t>
            </w:r>
          </w:p>
        </w:tc>
        <w:tc>
          <w:tcPr>
            <w:tcW w:type="pct" w:w="16.25%"/>
            <w:shd w:fill="F8FAFC"/>
          </w:tcPr>
          <w:p>
            <w:pPr>
              <w:jc w:val="right"/>
            </w:pPr>
            <w:r>
              <w:rPr>
                <w:sz w:val="20"/>
                <w:szCs w:val="20"/>
              </w:rPr>
              <w:t xml:space="preserve">4</w:t>
            </w:r>
          </w:p>
        </w:tc>
      </w:tr>
      <w:tr>
        <w:tc>
          <w:tcPr>
            <w:tcW w:type="pct" w:w="37.5%"/>
          </w:tcPr>
          <w:p>
            <w:pPr>
              <w:jc w:val="left"/>
            </w:pPr>
            <w:r>
              <w:rPr>
                <w:sz w:val="20"/>
                <w:szCs w:val="20"/>
              </w:rPr>
              <w:t xml:space="preserve">GDP as absolute $ gain</w:t>
            </w:r>
          </w:p>
        </w:tc>
        <w:tc>
          <w:tcPr>
            <w:tcW w:type="pct" w:w="12.5%"/>
          </w:tcPr>
          <w:p>
            <w:pPr>
              <w:jc w:val="right"/>
            </w:pPr>
            <w:r>
              <w:rPr>
                <w:sz w:val="20"/>
                <w:szCs w:val="20"/>
              </w:rPr>
              <w:t xml:space="preserve">2</w:t>
            </w:r>
          </w:p>
        </w:tc>
        <w:tc>
          <w:tcPr>
            <w:tcW w:type="pct" w:w="11.25%"/>
          </w:tcPr>
          <w:p>
            <w:pPr>
              <w:jc w:val="right"/>
            </w:pPr>
            <w:r>
              <w:rPr>
                <w:sz w:val="20"/>
                <w:szCs w:val="20"/>
              </w:rPr>
              <w:t xml:space="preserve">1</w:t>
            </w:r>
          </w:p>
        </w:tc>
        <w:tc>
          <w:tcPr>
            <w:tcW w:type="pct" w:w="22.5%"/>
          </w:tcPr>
          <w:p>
            <w:pPr>
              <w:jc w:val="right"/>
            </w:pPr>
            <w:r>
              <w:rPr>
                <w:sz w:val="20"/>
                <w:szCs w:val="20"/>
              </w:rPr>
              <w:t xml:space="preserve">3</w:t>
            </w:r>
          </w:p>
        </w:tc>
        <w:tc>
          <w:tcPr>
            <w:tcW w:type="pct" w:w="16.25%"/>
          </w:tcPr>
          <w:p>
            <w:pPr>
              <w:jc w:val="right"/>
            </w:pPr>
            <w:r>
              <w:rPr>
                <w:sz w:val="20"/>
                <w:szCs w:val="20"/>
              </w:rPr>
              <w:t xml:space="preserve">4</w:t>
            </w:r>
          </w:p>
        </w:tc>
      </w:tr>
      <w:tr>
        <w:tc>
          <w:tcPr>
            <w:tcW w:type="pct" w:w="37.5%"/>
            <w:shd w:fill="F8FAFC"/>
          </w:tcPr>
          <w:p>
            <w:pPr>
              <w:jc w:val="left"/>
            </w:pPr>
            <w:r>
              <w:rPr>
                <w:sz w:val="20"/>
                <w:szCs w:val="20"/>
              </w:rPr>
              <w:t xml:space="preserve">End year 2019 (pre-COVID)</w:t>
            </w:r>
          </w:p>
        </w:tc>
        <w:tc>
          <w:tcPr>
            <w:tcW w:type="pct" w:w="12.5%"/>
            <w:shd w:fill="F8FAFC"/>
          </w:tcPr>
          <w:p>
            <w:pPr>
              <w:jc w:val="right"/>
            </w:pPr>
            <w:r>
              <w:rPr>
                <w:sz w:val="20"/>
                <w:szCs w:val="20"/>
              </w:rPr>
              <w:t xml:space="preserve">1</w:t>
            </w:r>
          </w:p>
        </w:tc>
        <w:tc>
          <w:tcPr>
            <w:tcW w:type="pct" w:w="11.25%"/>
            <w:shd w:fill="F8FAFC"/>
          </w:tcPr>
          <w:p>
            <w:pPr>
              <w:jc w:val="right"/>
            </w:pPr>
            <w:r>
              <w:rPr>
                <w:sz w:val="20"/>
                <w:szCs w:val="20"/>
              </w:rPr>
              <w:t xml:space="preserve">2</w:t>
            </w:r>
          </w:p>
        </w:tc>
        <w:tc>
          <w:tcPr>
            <w:tcW w:type="pct" w:w="22.5%"/>
            <w:shd w:fill="F8FAFC"/>
          </w:tcPr>
          <w:p>
            <w:pPr>
              <w:jc w:val="right"/>
            </w:pPr>
            <w:r>
              <w:rPr>
                <w:sz w:val="20"/>
                <w:szCs w:val="20"/>
              </w:rPr>
              <w:t xml:space="preserve">3</w:t>
            </w:r>
          </w:p>
        </w:tc>
        <w:tc>
          <w:tcPr>
            <w:tcW w:type="pct" w:w="16.25%"/>
            <w:shd w:fill="F8FAFC"/>
          </w:tcPr>
          <w:p>
            <w:pPr>
              <w:jc w:val="right"/>
            </w:pPr>
            <w:r>
              <w:rPr>
                <w:sz w:val="20"/>
                <w:szCs w:val="20"/>
              </w:rPr>
              <w:t xml:space="preserve">4</w:t>
            </w:r>
          </w:p>
        </w:tc>
      </w:tr>
    </w:tbl>
    <w:p>
      <w:pPr>
        <w:pStyle w:val="Heading2"/>
      </w:pPr>
      <w:r>
        <w:t xml:space="preserve">Caveats</w:t>
      </w:r>
    </w:p>
    <w:p>
      <w:pPr>
        <w:pBdr>
          <w:left w:val="single" w:color="0E9594" w:sz="12" w:space="8"/>
        </w:pBdr>
        <w:spacing w:before="120" w:after="120"/>
        <w:ind w:left="240"/>
      </w:pPr>
      <w:r>
        <w:rPr>
          <w:b/>
          <w:bCs/>
          <w:color w:val="1E293B"/>
          <w:sz w:val="22"/>
          <w:szCs w:val="22"/>
        </w:rPr>
        <w:t xml:space="preserve">Warning:</w:t>
      </w:r>
      <w:r>
        <w:rPr>
          <w:color w:val="1E293B"/>
          <w:sz w:val="22"/>
          <w:szCs w:val="22"/>
        </w:rPr>
        <w:t xml:space="preserve"> Regional aggregates hide large differences between countries (India within South Asia, China and Japan within East Asia). Gross enrollment ratios exceed 100% in some regions and measure access, not learning. Primary enrollment is near saturation, so it is left out of the score. GDP per capita in constant US$ and in PPP give the same order. 2023 is the last year with complete data, and 2020–21 life expectancy was depressed by the pandemic. Using 2019 as the end year does not change the order. Tertiary enrollment was fetched but left out because Sub-Saharan Africa's series ends in 2021.</w:t>
      </w:r>
    </w:p>
    <w:p>
      <w:pPr>
        <w:pStyle w:val="Heading2"/>
      </w:pPr>
      <w:r>
        <w:t xml:space="preserve">Dataset</w:t>
      </w:r>
    </w:p>
    <w:p>
      <w:pPr>
        <w:spacing w:after="120"/>
      </w:pPr>
      <w:r>
        <w:rPr>
          <w:sz w:val="22"/>
          <w:szCs w:val="22"/>
        </w:rPr>
        <w:t xml:space="preserve">The accompanying dataset holds every series used: the four regions, the World benchmark, and the alternative East Asia definitions, with World Bank and UN rows tagged by region definition.</w:t>
      </w:r>
    </w:p>
    <w:p>
      <w:pPr>
        <w:pStyle w:val="Heading1"/>
      </w:pPr>
      <w:r>
        <w:t xml:space="preserve">Sources and Citations</w:t>
      </w:r>
    </w:p>
    <w:p>
      <w:pPr>
        <w:spacing w:after="120"/>
      </w:pPr>
      <w:r>
        <w:rPr>
          <w:b/>
          <w:bCs/>
          <w:sz w:val="22"/>
          <w:szCs w:val="22"/>
        </w:rPr>
        <w:t xml:space="preserve">[1]</w:t>
      </w:r>
      <w:r>
        <w:rPr>
          <w:sz w:val="22"/>
          <w:szCs w:val="22"/>
        </w:rPr>
        <w:t xml:space="preserve"> World Bank. World Development Indicators: NY.GDP.PCAP.KD, NY.GDP.PCAP.PP.KD, SP.DYN.LE00.IN, SE.SEC.ENRR, SE.PRM.ENRR for SAS, EAS, SSF, LCN and WLD, 2005–2023.</w:t>
      </w:r>
    </w:p>
    <w:p>
      <w:pPr>
        <w:spacing w:after="120"/>
      </w:pPr>
      <w:r>
        <w:rPr>
          <w:sz w:val="22"/>
          <w:szCs w:val="22"/>
        </w:rPr>
        <w:t xml:space="preserve">https://api.worldbank.org/v2/country/EAS/indicator/NY.GDP.PCAP.KD</w:t>
      </w:r>
    </w:p>
    <w:p>
      <w:pPr>
        <w:spacing w:after="120"/>
      </w:pPr>
      <w:r>
        <w:rPr>
          <w:b/>
          <w:bCs/>
          <w:sz w:val="22"/>
          <w:szCs w:val="22"/>
        </w:rPr>
        <w:t xml:space="preserve">[2]</w:t>
      </w:r>
      <w:r>
        <w:rPr>
          <w:sz w:val="22"/>
          <w:szCs w:val="22"/>
        </w:rPr>
        <w:t xml:space="preserve"> United Nations, DESA, Population Division. World Population Prospects 2024: total population, fertility rate, median age (Median variant, estimates 2005–2023) for locations 904, 947, 5501, 1832 and 900.</w:t>
      </w:r>
    </w:p>
    <w:p>
      <w:pPr>
        <w:spacing w:after="120"/>
      </w:pPr>
      <w:r>
        <w:rPr>
          <w:sz w:val="22"/>
          <w:szCs w:val="22"/>
        </w:rPr>
        <w:t xml:space="preserve">https://population.un.org/dataportalapi/api/v1/data/indicators/49/locations/904/start/2005/end/2023</w:t>
      </w:r>
    </w:p>
    <w:p>
      <w:pPr>
        <w:spacing w:after="120"/>
      </w:pPr>
      <w:r>
        <w:rPr>
          <w:b/>
          <w:bCs/>
          <w:sz w:val="22"/>
          <w:szCs w:val="22"/>
        </w:rPr>
        <w:t xml:space="preserve">[3]</w:t>
      </w:r>
      <w:r>
        <w:rPr>
          <w:sz w:val="22"/>
          <w:szCs w:val="22"/>
        </w:rPr>
        <w:t xml:space="preserve"> United Nations, DESA, Population Division. World Population Prospects 2024: total dependency ratio, age definition 0-14 and 65+ per 15-64, locations 904, 1832 and 900.</w:t>
      </w:r>
    </w:p>
    <w:p>
      <w:pPr>
        <w:spacing w:after="120"/>
      </w:pPr>
      <w:r>
        <w:rPr>
          <w:sz w:val="22"/>
          <w:szCs w:val="22"/>
        </w:rPr>
        <w:t xml:space="preserve">https://population.un.org/dataportalapi/api/v1/data/indicators/86/locations/904,1832,900/start/2005/end/2023 (accessed October 18, 2026)</w:t>
      </w:r>
    </w:p>
    <w:p>
      <w:pPr>
        <w:spacing w:after="120"/>
      </w:pPr>
      <w:r>
        <w:rPr>
          <w:b/>
          <w:bCs/>
          <w:sz w:val="22"/>
          <w:szCs w:val="22"/>
        </w:rPr>
        <w:t xml:space="preserve">[4]</w:t>
      </w:r>
      <w:r>
        <w:rPr>
          <w:sz w:val="22"/>
          <w:szCs w:val="22"/>
        </w:rPr>
        <w:t xml:space="preserve"> World Bank. World Development Indicators for EAP (East Asia &amp; Pacific, excluding high income), 2005–2023.</w:t>
      </w:r>
    </w:p>
    <w:p>
      <w:pPr>
        <w:spacing w:after="120"/>
      </w:pPr>
      <w:r>
        <w:rPr>
          <w:sz w:val="22"/>
          <w:szCs w:val="22"/>
        </w:rPr>
        <w:t xml:space="preserve">https://api.worldbank.org/v2/country/EAP/indicator/NY.GDP.PCAP.KD (accessed October 18, 2026)</w:t>
      </w:r>
    </w:p>
    <w:p>
      <w:pPr>
        <w:spacing w:after="120"/>
      </w:pPr>
      <w:r>
        <w:rPr>
          <w:b/>
          <w:bCs/>
          <w:sz w:val="22"/>
          <w:szCs w:val="22"/>
        </w:rPr>
        <w:t xml:space="preserve">[5]</w:t>
      </w:r>
      <w:r>
        <w:rPr>
          <w:sz w:val="22"/>
          <w:szCs w:val="22"/>
        </w:rPr>
        <w:t xml:space="preserve"> World Bank. Country and aggregate metadata for SSF, SAS, LCN, LAC, EAS, EAP and WLD.</w:t>
      </w:r>
    </w:p>
    <w:p>
      <w:pPr>
        <w:spacing w:after="120"/>
      </w:pPr>
      <w:r>
        <w:rPr>
          <w:sz w:val="22"/>
          <w:szCs w:val="22"/>
        </w:rPr>
        <w:t xml:space="preserve">https://api.worldbank.org/v2/country/SSF;SAS;LCN;LAC;EAS;EAP;WLD (accessed October 18, 2026)</w:t>
      </w:r>
    </w:p>
    <w:p>
      <w:pPr>
        <w:pStyle w:val="Heading2"/>
      </w:pPr>
      <w:r>
        <w:t xml:space="preserve">Data Provenance</w:t>
      </w:r>
    </w:p>
    <w:p>
      <w:pPr>
        <w:spacing w:after="120"/>
      </w:pPr>
      <w:r>
        <w:rPr>
          <w:sz w:val="22"/>
          <w:szCs w:val="22"/>
        </w:rPr>
        <w:t xml:space="preserve">Each entry records the request behind a numbered reference: when it was fetched, whether the response was live or cached, and a fingerprint (hash prefix) of the response body, so every cited figure can be re-fetched and verified.</w:t>
      </w:r>
    </w:p>
    <w:p>
      <w:pPr>
        <w:spacing w:after="120"/>
      </w:pPr>
      <w:r>
        <w:rPr>
          <w:b/>
          <w:bCs/>
          <w:sz w:val="22"/>
          <w:szCs w:val="22"/>
        </w:rPr>
        <w:t xml:space="preserve">[3]</w:t>
      </w:r>
      <w:r>
        <w:rPr>
          <w:sz w:val="22"/>
          <w:szCs w:val="22"/>
        </w:rPr>
        <w:t xml:space="preserve"> UN DESA, WPP 2024 dependency ratio — fetched 2026-10-18 06:35:51 UTC · live response · fingerprint 61fffe8a3107d620</w:t>
      </w:r>
    </w:p>
    <w:p>
      <w:pPr>
        <w:spacing w:after="120"/>
      </w:pPr>
      <w:r>
        <w:rPr>
          <w:sz w:val="22"/>
          <w:szCs w:val="22"/>
        </w:rPr>
        <w:t xml:space="preserve">GET https://population.un.org/dataportalapi/api/v1/data/indicators/86/locations/904,1832,900/start/2005/end/2023</w:t>
      </w:r>
    </w:p>
    <w:p>
      <w:pPr>
        <w:spacing w:after="120"/>
      </w:pPr>
      <w:r>
        <w:rPr>
          <w:b/>
          <w:bCs/>
          <w:sz w:val="22"/>
          <w:szCs w:val="22"/>
        </w:rPr>
        <w:t xml:space="preserve">[4]</w:t>
      </w:r>
      <w:r>
        <w:rPr>
          <w:sz w:val="22"/>
          <w:szCs w:val="22"/>
        </w:rPr>
        <w:t xml:space="preserve"> World Bank WDI, East Asia &amp; Pacific (excl. high income) — fetched 2026-10-18 06:35:28 UTC · live response · fingerprint b119a3d490cd0de4</w:t>
      </w:r>
    </w:p>
    <w:p>
      <w:pPr>
        <w:spacing w:after="120"/>
      </w:pPr>
      <w:r>
        <w:rPr>
          <w:sz w:val="22"/>
          <w:szCs w:val="22"/>
        </w:rPr>
        <w:t xml:space="preserve">GET https://api.worldbank.org/v2/country/EAP/indicator/NY.GDP.PCAP.KD</w:t>
      </w:r>
    </w:p>
    <w:p>
      <w:pPr>
        <w:spacing w:after="120"/>
      </w:pPr>
      <w:r>
        <w:rPr>
          <w:b/>
          <w:bCs/>
          <w:sz w:val="22"/>
          <w:szCs w:val="22"/>
        </w:rPr>
        <w:t xml:space="preserve">[5]</w:t>
      </w:r>
      <w:r>
        <w:rPr>
          <w:sz w:val="22"/>
          <w:szCs w:val="22"/>
        </w:rPr>
        <w:t xml:space="preserve"> World Bank region definitions — fetched 2026-10-18 06:36:14 UTC · live response · fingerprint c6e3ededf96267cf</w:t>
      </w:r>
    </w:p>
    <w:p>
      <w:pPr>
        <w:spacing w:after="120"/>
      </w:pPr>
      <w:r>
        <w:rPr>
          <w:sz w:val="22"/>
          <w:szCs w:val="22"/>
        </w:rPr>
        <w:t xml:space="preserve">GET https://api.worldbank.org/v2/country/SSF;SAS;LCN;LAC;EAS;EAP;WLD</w:t>
      </w:r>
    </w:p>
    <w:sectPr>
      <w:footerReference w:type="default" r:id="rId6"/>
      <w:pgSz w:w="11906" w:h="16838" w:orient="portrait"/>
      <w:pgMar w:top="920" w:right="1080" w:bottom="11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family w:val="auto"/>
    <w:pitch w:val="variable"/>
    <w:sig w:usb0="E0002AFF" w:usb1="C000247B" w:usb2="00000009" w:usb3="00000000" w:csb0="000001FF" w:csb1="00000000"/>
    <w:embedRegular r:id="rId1" w:fontKey="{fca8d2b0-448c-bf01-f6b8-d840a59a77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E8F0" w:sz="4"/>
      </w:pBdr>
      <w:tabs>
        <w:tab w:val="right" w:pos="9026"/>
      </w:tabs>
    </w:pPr>
    <w:r>
      <w:rPr>
        <w:color w:val="94A3B8"/>
        <w:sz w:val="16"/>
        <w:szCs w:val="16"/>
      </w:rPr>
      <w:t xml:space="preserve">Created with Symposium AI  ·  symposiumai.app</w:t>
    </w:r>
    <w:r>
      <w:rPr>
        <w:color w:val="94A3B8"/>
        <w:sz w:val="16"/>
        <w:szCs w:val="16"/>
      </w:rPr>
      <w:tab/>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F2937"/>
        <w:sz w:val="22"/>
        <w:szCs w:val="22"/>
      </w:rPr>
    </w:rPrDefault>
    <w:pPrDefault/>
  </w:docDefaults>
  <w:style w:type="paragraph" w:styleId="Title">
    <w:name w:val="Title"/>
    <w:basedOn w:val="Normal"/>
    <w:next w:val="Normal"/>
    <w:qFormat/>
    <w:pPr>
      <w:spacing w:before="160" w:after="160"/>
    </w:pPr>
    <w:rPr>
      <w:rFonts w:ascii="Inter" w:cs="Inter" w:eastAsia="Inter" w:hAnsi="Inter"/>
      <w:b/>
      <w:bCs/>
      <w:color w:val="0F172A"/>
      <w:sz w:val="52"/>
      <w:szCs w:val="52"/>
    </w:rPr>
  </w:style>
  <w:style w:type="paragraph" w:styleId="Heading1">
    <w:name w:val="Heading 1"/>
    <w:basedOn w:val="Normal"/>
    <w:next w:val="Normal"/>
    <w:qFormat/>
    <w:pPr>
      <w:keepNext/>
      <w:keepLines/>
      <w:spacing w:before="280" w:after="120"/>
    </w:pPr>
    <w:rPr>
      <w:rFonts w:ascii="Inter" w:cs="Inter" w:eastAsia="Inter" w:hAnsi="Inter"/>
      <w:b/>
      <w:bCs/>
      <w:color w:val="0F172A"/>
      <w:sz w:val="32"/>
      <w:szCs w:val="32"/>
    </w:rPr>
  </w:style>
  <w:style w:type="paragraph" w:styleId="Heading2">
    <w:name w:val="Heading 2"/>
    <w:basedOn w:val="Normal"/>
    <w:next w:val="Normal"/>
    <w:qFormat/>
    <w:pPr>
      <w:keepNext/>
      <w:keepLines/>
      <w:spacing w:before="220" w:after="100"/>
    </w:pPr>
    <w:rPr>
      <w:rFonts w:ascii="Inter" w:cs="Inter" w:eastAsia="Inter" w:hAnsi="Inter"/>
      <w:b/>
      <w:bCs/>
      <w:color w:val="1E293B"/>
      <w:sz w:val="26"/>
      <w:szCs w:val="26"/>
    </w:rPr>
  </w:style>
  <w:style w:type="paragraph" w:styleId="Heading3">
    <w:name w:val="Heading 3"/>
    <w:basedOn w:val="Normal"/>
    <w:next w:val="Normal"/>
    <w:qFormat/>
    <w:pPr>
      <w:keepNext/>
      <w:keepLines/>
      <w:spacing w:before="160" w:after="80"/>
    </w:pPr>
    <w:rPr>
      <w:rFonts w:ascii="Inter" w:cs="Inter" w:eastAsia="Inter" w:hAnsi="Inter"/>
      <w:b/>
      <w:bCs/>
      <w:color w:val="1E293B"/>
      <w:sz w:val="23"/>
      <w:szCs w:val="23"/>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08cb17d735d24c1852c57598e781deedfc874ceb.png"/><Relationship Id="rId8" Type="http://schemas.openxmlformats.org/officeDocument/2006/relationships/image" Target="media/42e5aeb223c09708ed3eece678c5fd19cfe06b6d.png"/><Relationship Id="rId9" Type="http://schemas.openxmlformats.org/officeDocument/2006/relationships/image" Target="media/7bb9bae25cd1b25c5eddbe0b103f5c1006b21bd9.png"/><Relationship Id="rId10" Type="http://schemas.openxmlformats.org/officeDocument/2006/relationships/image" Target="media/7b09573bb9aaac0c2e7750a04ebcf5c2359cbdb3.png"/><Relationship Id="rId11" Type="http://schemas.openxmlformats.org/officeDocument/2006/relationships/image" Target="media/4ab7d94430016769fd9367c4441005cf5d1fd3ae.png"/><Relationship Id="rId12" Type="http://schemas.openxmlformats.org/officeDocument/2006/relationships/image" Target="media/404e9fd0548c1c8cc16024ad5c91270e69178444.png"/><Relationship Id="rId13" Type="http://schemas.openxmlformats.org/officeDocument/2006/relationships/image" Target="media/0026ef85ae7fd2ac5dfcb7075a67515ca726355d.png"/><Relationship Id="rId14" Type="http://schemas.openxmlformats.org/officeDocument/2006/relationships/image" Target="media/f15f6c221d878fbc1331783d86e9f86c8ba8f664.png"/><Relationship Id="rId15" Type="http://schemas.openxmlformats.org/officeDocument/2006/relationships/image" Target="media/33008f4cf88526e7fa7667b20030643698f9a721.png"/><Relationship Id="rId16" Type="http://schemas.openxmlformats.org/officeDocument/2006/relationships/image" Target="media/793f27fadb03164ac4c16194b79aeb560259ce81.png"/><Relationship Id="rId17" Type="http://schemas.openxmlformats.org/officeDocument/2006/relationships/image" Target="media/50633a5b09f404c9b91a7530043cb27ed5b3f309.png"/><Relationship Id="rId18" Type="http://schemas.openxmlformats.org/officeDocument/2006/relationships/fontTable" Target="fontTable.xml"/></Relationships>
</file>

<file path=word/_rels/fontTable.xml.rels><?xml version="1.0" encoding="UTF-8"?><Relationships xmlns="http://schemas.openxmlformats.org/package/2006/relationships"><Relationship Id="rId1" Type="http://schemas.openxmlformats.org/officeDocument/2006/relationships/font" Target="fonts/Inter.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since 2005: Sub-Saharan Africa, South Asia, Latin America and East Asia</dc:title>
  <dc:creator>Symposium AI</dc:creator>
  <dc:description>Report generated by Symposium AI. Created with Symposium AI (https://symposiumai.app)</dc:description>
  <cp:lastModifiedBy>Un-named</cp:lastModifiedBy>
  <cp:revision>1</cp:revision>
  <dcterms:created xsi:type="dcterms:W3CDTF">2026-10-18T06:55:32.023Z</dcterms:created>
  <dcterms:modified xsi:type="dcterms:W3CDTF">2026-10-18T06:55:32.023Z</dcterms:modified>
</cp:coreProperties>
</file>

<file path=docProps/custom.xml><?xml version="1.0" encoding="utf-8"?>
<Properties xmlns="http://schemas.openxmlformats.org/officeDocument/2006/custom-properties" xmlns:vt="http://schemas.openxmlformats.org/officeDocument/2006/docPropsVTypes"/>
</file>